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DA7C" w14:textId="1FA50524" w:rsidR="00AB0021" w:rsidRDefault="00455BBC" w:rsidP="00564B6D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Modernizacje systemów</w:t>
      </w:r>
      <w:r w:rsidR="004C3075" w:rsidRPr="004C3075">
        <w:rPr>
          <w:rFonts w:ascii="Times New Roman" w:hAnsi="Times New Roman" w:cs="Times New Roman"/>
          <w:b/>
          <w:bCs/>
          <w:sz w:val="32"/>
          <w:szCs w:val="32"/>
        </w:rPr>
        <w:t xml:space="preserve"> wysokiego napięcia prądu stałego oraz modułów parku energii z podłączeniem prądu stałego</w:t>
      </w:r>
    </w:p>
    <w:p w14:paraId="261677B6" w14:textId="46FB4EE5" w:rsidR="004C3075" w:rsidRPr="004C3075" w:rsidRDefault="004C3075" w:rsidP="004C3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85B1E" w14:textId="6F97B26D" w:rsidR="004C3075" w:rsidRPr="004C3075" w:rsidRDefault="004C3075" w:rsidP="004C3075">
      <w:pPr>
        <w:jc w:val="both"/>
        <w:rPr>
          <w:rFonts w:ascii="Times New Roman" w:hAnsi="Times New Roman" w:cs="Times New Roman"/>
          <w:sz w:val="24"/>
          <w:szCs w:val="24"/>
        </w:rPr>
      </w:pPr>
      <w:r w:rsidRPr="004C3075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     w Artykule 4 ust. 1 Rozporządzenia Unii Europejskiej nr 2016/1447 ustanawiającego kodeks sieci określający wymogi dotyczące przyłączenia do sieci systemów wysokiego napięcia prądu stałego oraz modułów parku energii z podłączeniem prądu stałego (zwanym NC HVDC), </w:t>
      </w:r>
      <w:r w:rsidR="00D735DD">
        <w:rPr>
          <w:rFonts w:ascii="Times New Roman" w:hAnsi="Times New Roman" w:cs="Times New Roman"/>
          <w:sz w:val="24"/>
          <w:szCs w:val="24"/>
        </w:rPr>
        <w:br/>
      </w:r>
      <w:r w:rsidRPr="004C3075">
        <w:rPr>
          <w:rFonts w:ascii="Times New Roman" w:hAnsi="Times New Roman" w:cs="Times New Roman"/>
          <w:sz w:val="24"/>
          <w:szCs w:val="24"/>
        </w:rPr>
        <w:t xml:space="preserve">a także rozpoczęciem stosowania wymogów określonych w powyższym rozporządzeniu z dniem 08.09.2019 r., </w:t>
      </w:r>
      <w:r w:rsidR="00563401">
        <w:rPr>
          <w:rFonts w:ascii="Times New Roman" w:hAnsi="Times New Roman" w:cs="Times New Roman"/>
          <w:sz w:val="24"/>
          <w:szCs w:val="24"/>
        </w:rPr>
        <w:t>PCC Rokita SA</w:t>
      </w:r>
      <w:r w:rsidRPr="004C3075">
        <w:rPr>
          <w:rFonts w:ascii="Times New Roman" w:hAnsi="Times New Roman" w:cs="Times New Roman"/>
          <w:sz w:val="24"/>
          <w:szCs w:val="24"/>
        </w:rPr>
        <w:t xml:space="preserve"> przedkłada opracowane w ramach PTPiREE procedurę i wzory dokumentów, związane z objęciem wymogami kodeksu NC HVDC </w:t>
      </w:r>
      <w:r w:rsidR="00D735DD">
        <w:rPr>
          <w:rFonts w:ascii="Times New Roman" w:hAnsi="Times New Roman" w:cs="Times New Roman"/>
          <w:sz w:val="24"/>
          <w:szCs w:val="24"/>
        </w:rPr>
        <w:br/>
      </w:r>
      <w:r w:rsidRPr="004C3075">
        <w:rPr>
          <w:rFonts w:ascii="Times New Roman" w:hAnsi="Times New Roman" w:cs="Times New Roman"/>
          <w:sz w:val="24"/>
          <w:szCs w:val="24"/>
        </w:rPr>
        <w:t>w przypadku modernizacji lub wymiany systemów wysokiego napięcia prądu stałego oraz modułów parku energii z podłączeniem prądu stałego.</w:t>
      </w:r>
    </w:p>
    <w:p w14:paraId="13FC6CE9" w14:textId="77777777" w:rsidR="004C3075" w:rsidRPr="004C3075" w:rsidRDefault="004C3075" w:rsidP="004C3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E6F80" w14:textId="509C4ADC" w:rsidR="004C3075" w:rsidRDefault="004C3075" w:rsidP="004C3075">
      <w:pPr>
        <w:jc w:val="both"/>
        <w:rPr>
          <w:rFonts w:ascii="Times New Roman" w:hAnsi="Times New Roman" w:cs="Times New Roman"/>
          <w:sz w:val="24"/>
          <w:szCs w:val="24"/>
        </w:rPr>
      </w:pPr>
      <w:r w:rsidRPr="004C3075">
        <w:rPr>
          <w:rFonts w:ascii="Times New Roman" w:hAnsi="Times New Roman" w:cs="Times New Roman"/>
          <w:sz w:val="24"/>
          <w:szCs w:val="24"/>
        </w:rPr>
        <w:t xml:space="preserve">Procedura objęcia istniejącego systemu wysokiego napięcia prądu stałego oraz modułu parku energii z podłączeniem prądu stałego wymogami NC HVDC w przypadku modernizacji lub wymiany urządzeń obejmuje zestawienie wymaganych dokumentów i działań po stronie właściciela systemu wysokiego napięcia prądu stałego lub modułu parku energii </w:t>
      </w:r>
      <w:r w:rsidR="00D735DD">
        <w:rPr>
          <w:rFonts w:ascii="Times New Roman" w:hAnsi="Times New Roman" w:cs="Times New Roman"/>
          <w:sz w:val="24"/>
          <w:szCs w:val="24"/>
        </w:rPr>
        <w:br/>
      </w:r>
      <w:r w:rsidRPr="004C3075">
        <w:rPr>
          <w:rFonts w:ascii="Times New Roman" w:hAnsi="Times New Roman" w:cs="Times New Roman"/>
          <w:sz w:val="24"/>
          <w:szCs w:val="24"/>
        </w:rPr>
        <w:t xml:space="preserve">z podłączeniem prądu stałego oraz po stronie </w:t>
      </w:r>
      <w:r w:rsidR="00563401">
        <w:rPr>
          <w:rFonts w:ascii="Times New Roman" w:hAnsi="Times New Roman" w:cs="Times New Roman"/>
          <w:sz w:val="24"/>
          <w:szCs w:val="24"/>
        </w:rPr>
        <w:t>PCC Rokita SA</w:t>
      </w:r>
      <w:r w:rsidRPr="004C3075">
        <w:rPr>
          <w:rFonts w:ascii="Times New Roman" w:hAnsi="Times New Roman" w:cs="Times New Roman"/>
          <w:sz w:val="24"/>
          <w:szCs w:val="24"/>
        </w:rPr>
        <w:t xml:space="preserve"> prowadzących do wydania decyzji w sprawie objęcia istniejącego systemu wysokiego napięcia prądu stałego lub modułu parku energii z podłączeniem prądu stałego wymogami kodeksu NC HVDC </w:t>
      </w:r>
      <w:r w:rsidR="00D735DD">
        <w:rPr>
          <w:rFonts w:ascii="Times New Roman" w:hAnsi="Times New Roman" w:cs="Times New Roman"/>
          <w:sz w:val="24"/>
          <w:szCs w:val="24"/>
        </w:rPr>
        <w:br/>
      </w:r>
      <w:r w:rsidRPr="004C3075">
        <w:rPr>
          <w:rFonts w:ascii="Times New Roman" w:hAnsi="Times New Roman" w:cs="Times New Roman"/>
          <w:sz w:val="24"/>
          <w:szCs w:val="24"/>
        </w:rPr>
        <w:t>w przypadku modernizacji lub wymiany urządzeń.</w:t>
      </w:r>
    </w:p>
    <w:p w14:paraId="2325338C" w14:textId="77777777" w:rsidR="00BC0568" w:rsidRPr="00970821" w:rsidRDefault="00BC0568" w:rsidP="00BC05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75A33" w14:textId="0BD07443" w:rsidR="00BC0568" w:rsidRDefault="00BC0568" w:rsidP="00BC0568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Zestawienie procedury i stosownych dokumentów (do pobrania) znajduje się </w:t>
      </w:r>
      <w:r>
        <w:rPr>
          <w:rFonts w:ascii="Times New Roman" w:hAnsi="Times New Roman" w:cs="Times New Roman"/>
          <w:sz w:val="24"/>
          <w:szCs w:val="24"/>
        </w:rPr>
        <w:t xml:space="preserve">na stronie: </w:t>
      </w:r>
      <w:hyperlink r:id="rId4" w:history="1">
        <w:r w:rsidR="00563401" w:rsidRPr="00915654">
          <w:rPr>
            <w:rStyle w:val="Hipercze"/>
            <w:rFonts w:ascii="Times New Roman" w:hAnsi="Times New Roman" w:cs="Times New Roman"/>
            <w:sz w:val="24"/>
            <w:szCs w:val="24"/>
          </w:rPr>
          <w:t>https://pcc.rokita.pl/energia-elektryczna/informacje-wstepne/</w:t>
        </w:r>
      </w:hyperlink>
      <w:r w:rsidR="00563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9B47E" w14:textId="77777777" w:rsidR="00564B6D" w:rsidRPr="004C3075" w:rsidRDefault="00564B6D" w:rsidP="004C30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4B6D" w:rsidRPr="004C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75"/>
    <w:rsid w:val="00455BBC"/>
    <w:rsid w:val="004C3075"/>
    <w:rsid w:val="00563401"/>
    <w:rsid w:val="00564B6D"/>
    <w:rsid w:val="00AB0021"/>
    <w:rsid w:val="00BC0568"/>
    <w:rsid w:val="00D7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CEC4"/>
  <w15:chartTrackingRefBased/>
  <w15:docId w15:val="{267B9003-3D19-45B8-A3FC-BAFF03C9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34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cc.rokita.pl/energia-elektryczna/informacje-wstep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Barbara Kardys</cp:lastModifiedBy>
  <cp:revision>7</cp:revision>
  <dcterms:created xsi:type="dcterms:W3CDTF">2020-08-05T18:25:00Z</dcterms:created>
  <dcterms:modified xsi:type="dcterms:W3CDTF">2020-08-07T08:49:00Z</dcterms:modified>
</cp:coreProperties>
</file>