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5377D3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7B9CC11" w14:textId="77777777" w:rsidR="00EA33B0" w:rsidRPr="005377D3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6DD677E6" w14:textId="77777777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7C29695" w14:textId="77777777" w:rsidR="00EA33B0" w:rsidRPr="005377D3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7BED9" w14:textId="77777777" w:rsidR="00EA33B0" w:rsidRPr="005377D3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2CB8E70B" w14:textId="67968754" w:rsidR="00EA33B0" w:rsidRPr="005377D3" w:rsidRDefault="00A06187" w:rsidP="00D43148">
      <w:pPr>
        <w:spacing w:after="200"/>
        <w:jc w:val="center"/>
        <w:rPr>
          <w:rFonts w:eastAsia="Times New Roman" w:cs="Arial"/>
          <w:color w:val="000000" w:themeColor="text1"/>
          <w:sz w:val="24"/>
          <w:lang w:val="pl-PL" w:eastAsia="pl-PL"/>
        </w:rPr>
      </w:pPr>
      <w:r w:rsidRPr="005377D3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Wdrożenie wymogów wynikających z </w:t>
      </w:r>
      <w:r w:rsidR="00EA33B0" w:rsidRPr="005377D3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zapisów Rozporządzenia Komisji (UE) </w:t>
      </w:r>
      <w:r w:rsidR="00D43148" w:rsidRPr="005377D3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4C844A8A" w14:textId="77777777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2C7D28" w14:textId="77777777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7CA2605" w14:textId="77777777" w:rsidR="00EA33B0" w:rsidRPr="005377D3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51217A63" w14:textId="034EA860" w:rsidR="00EA33B0" w:rsidRPr="005377D3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  <w:r w:rsidRPr="005377D3">
        <w:rPr>
          <w:rFonts w:cs="Arial"/>
          <w:b/>
          <w:color w:val="000000" w:themeColor="text1"/>
          <w:sz w:val="24"/>
          <w:lang w:val="pl-PL"/>
        </w:rPr>
        <w:t xml:space="preserve">Program ramowy testu zgodności </w:t>
      </w:r>
      <w:r w:rsidR="00D43148" w:rsidRPr="005377D3">
        <w:rPr>
          <w:rFonts w:cs="Arial"/>
          <w:b/>
          <w:color w:val="000000" w:themeColor="text1"/>
          <w:sz w:val="24"/>
          <w:lang w:val="pl-PL"/>
        </w:rPr>
        <w:t xml:space="preserve">modułu parku energii z podłączeniem prądu stałego </w:t>
      </w:r>
      <w:r w:rsidR="00351012" w:rsidRPr="005377D3">
        <w:rPr>
          <w:rFonts w:cs="Arial"/>
          <w:b/>
          <w:color w:val="000000" w:themeColor="text1"/>
          <w:sz w:val="24"/>
          <w:lang w:val="pl-PL"/>
        </w:rPr>
        <w:t>w zakresie zdolności</w:t>
      </w:r>
    </w:p>
    <w:p w14:paraId="0C610960" w14:textId="77777777" w:rsidR="00EA33B0" w:rsidRPr="005377D3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01B16073" w14:textId="4E776370" w:rsidR="00EA33B0" w:rsidRPr="005377D3" w:rsidRDefault="00D43148" w:rsidP="00A7211A">
      <w:pPr>
        <w:pStyle w:val="Akapitzlist"/>
        <w:numPr>
          <w:ilvl w:val="0"/>
          <w:numId w:val="16"/>
        </w:numPr>
        <w:spacing w:after="200"/>
        <w:jc w:val="center"/>
        <w:rPr>
          <w:rFonts w:cs="Arial"/>
          <w:b/>
          <w:color w:val="000000" w:themeColor="text1"/>
          <w:szCs w:val="22"/>
        </w:rPr>
      </w:pPr>
      <w:r w:rsidRPr="005377D3">
        <w:rPr>
          <w:b/>
          <w:color w:val="000000" w:themeColor="text1"/>
          <w:szCs w:val="22"/>
        </w:rPr>
        <w:t xml:space="preserve">możliwości </w:t>
      </w:r>
      <w:r w:rsidR="005D3D2E" w:rsidRPr="005377D3">
        <w:rPr>
          <w:b/>
          <w:color w:val="000000" w:themeColor="text1"/>
          <w:szCs w:val="22"/>
        </w:rPr>
        <w:t>regulacji mocy czynnej</w:t>
      </w:r>
    </w:p>
    <w:p w14:paraId="0CCDD494" w14:textId="77777777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4F60D91B" w14:textId="77777777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2C4C6A8D" w14:textId="77777777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A08036" w14:textId="20DE8875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  <w:r w:rsidRPr="005377D3">
        <w:rPr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2C3D00" w:rsidRDefault="002C3D00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2C3D00" w:rsidRDefault="002C3D00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5377D3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0A8EDD8" w14:textId="04663AEB" w:rsidR="00EA33B0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60EF0C35" w14:textId="4DB427FE" w:rsidR="005377D3" w:rsidRDefault="005377D3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136F13D7" w14:textId="2758ED68" w:rsidR="005377D3" w:rsidRDefault="005377D3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19988181" w14:textId="0AACF9B9" w:rsidR="005377D3" w:rsidRDefault="005377D3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8F4E91A" w14:textId="77777777" w:rsidR="005377D3" w:rsidRPr="005377D3" w:rsidRDefault="005377D3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BB9556E" w14:textId="77777777" w:rsidR="00EA33B0" w:rsidRPr="005377D3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38FF7C2F" w14:textId="77777777" w:rsidR="00EA33B0" w:rsidRPr="005377D3" w:rsidRDefault="00EA33B0">
      <w:pPr>
        <w:pStyle w:val="Nagwek1"/>
        <w:rPr>
          <w:color w:val="000000" w:themeColor="text1"/>
        </w:rPr>
      </w:pPr>
      <w:bookmarkStart w:id="0" w:name="_Toc531350204"/>
      <w:r w:rsidRPr="005377D3">
        <w:rPr>
          <w:color w:val="000000" w:themeColor="text1"/>
        </w:rPr>
        <w:lastRenderedPageBreak/>
        <w:t>Spis treści</w:t>
      </w:r>
      <w:bookmarkEnd w:id="0"/>
    </w:p>
    <w:p w14:paraId="243E3092" w14:textId="5154506D" w:rsidR="00293C1F" w:rsidRPr="005377D3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5377D3">
        <w:rPr>
          <w:color w:val="000000" w:themeColor="text1"/>
        </w:rPr>
        <w:fldChar w:fldCharType="begin"/>
      </w:r>
      <w:r w:rsidRPr="005377D3">
        <w:rPr>
          <w:color w:val="000000" w:themeColor="text1"/>
        </w:rPr>
        <w:instrText>TOC \o "1-3" \h</w:instrText>
      </w:r>
      <w:r w:rsidRPr="005377D3">
        <w:rPr>
          <w:color w:val="000000" w:themeColor="text1"/>
        </w:rPr>
        <w:fldChar w:fldCharType="separate"/>
      </w:r>
      <w:hyperlink w:anchor="_Toc531350204" w:history="1">
        <w:r w:rsidR="00293C1F" w:rsidRPr="005377D3">
          <w:rPr>
            <w:rStyle w:val="Hipercze"/>
            <w:noProof/>
            <w:color w:val="000000" w:themeColor="text1"/>
          </w:rPr>
          <w:t>1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Spis treści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_Toc531350204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2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00DA07D1" w14:textId="3283AF67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05" w:history="1">
        <w:r w:rsidR="00293C1F" w:rsidRPr="005377D3">
          <w:rPr>
            <w:rStyle w:val="Hipercze"/>
            <w:noProof/>
            <w:color w:val="000000" w:themeColor="text1"/>
          </w:rPr>
          <w:t>2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Cel i zakres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_Toc531350205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3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476A87EF" w14:textId="173B3F23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06" w:history="1">
        <w:r w:rsidR="00293C1F" w:rsidRPr="005377D3">
          <w:rPr>
            <w:rStyle w:val="Hipercze"/>
            <w:noProof/>
            <w:color w:val="000000" w:themeColor="text1"/>
          </w:rPr>
          <w:t>3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Definicje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_Toc531350206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3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5CEDBFB4" w14:textId="194FB62A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07" w:history="1">
        <w:r w:rsidR="00293C1F" w:rsidRPr="005377D3">
          <w:rPr>
            <w:rStyle w:val="Hipercze"/>
            <w:noProof/>
            <w:color w:val="000000" w:themeColor="text1"/>
          </w:rPr>
          <w:t>4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Cel testu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_Toc531350207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4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27E04691" w14:textId="4563CDB8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08" w:history="1">
        <w:r w:rsidR="00293C1F" w:rsidRPr="005377D3">
          <w:rPr>
            <w:rStyle w:val="Hipercze"/>
            <w:noProof/>
            <w:color w:val="000000" w:themeColor="text1"/>
          </w:rPr>
          <w:t>5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Zasady przeprowadzania testów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_Toc531350208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4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61FFEAE9" w14:textId="162B9565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09" w:history="1">
        <w:r w:rsidR="00293C1F" w:rsidRPr="005377D3">
          <w:rPr>
            <w:rStyle w:val="Hipercze"/>
            <w:noProof/>
            <w:color w:val="000000" w:themeColor="text1"/>
          </w:rPr>
          <w:t>5.1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Podstawowe informacje w zakresie ramowego programu przeprowadzania testów zgodności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_Toc531350209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4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31E3DC5D" w14:textId="57DF0AC3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0" w:history="1">
        <w:r w:rsidR="00293C1F" w:rsidRPr="005377D3">
          <w:rPr>
            <w:rStyle w:val="Hipercze"/>
            <w:noProof/>
            <w:color w:val="000000" w:themeColor="text1"/>
          </w:rPr>
          <w:t>5.2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Ramowy program przeprowadzania testów w zakresie zdolności do generacji mocy biernej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_Toc531350210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4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0D89AEF5" w14:textId="5B05F60E" w:rsidR="00293C1F" w:rsidRPr="005377D3" w:rsidRDefault="00C20518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1" w:history="1">
        <w:r w:rsidR="00293C1F" w:rsidRPr="005377D3">
          <w:rPr>
            <w:rStyle w:val="Hipercze"/>
            <w:noProof/>
            <w:color w:val="000000" w:themeColor="text1"/>
          </w:rPr>
          <w:t>5.2.1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Parametry techniczne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_Toc531350211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4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7609B84E" w14:textId="1445D2B0" w:rsidR="00293C1F" w:rsidRPr="005377D3" w:rsidRDefault="00C20518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2" w:history="1">
        <w:r w:rsidR="00293C1F" w:rsidRPr="005377D3">
          <w:rPr>
            <w:rStyle w:val="Hipercze"/>
            <w:noProof/>
            <w:color w:val="000000" w:themeColor="text1"/>
          </w:rPr>
          <w:t>5.2.2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Ogólne warunki przeprowadzenia testu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_Toc531350212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4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6DF0773A" w14:textId="6D2FB852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3" w:history="1">
        <w:r w:rsidR="00293C1F" w:rsidRPr="005377D3">
          <w:rPr>
            <w:rStyle w:val="Hipercze"/>
            <w:noProof/>
            <w:color w:val="000000" w:themeColor="text1"/>
          </w:rPr>
          <w:t>6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Sposób przeprowadzenia testu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_Toc531350213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4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3D1AE5AE" w14:textId="6DED289B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4" w:history="1">
        <w:r w:rsidR="00293C1F" w:rsidRPr="005377D3">
          <w:rPr>
            <w:rStyle w:val="Hipercze"/>
            <w:noProof/>
            <w:color w:val="000000" w:themeColor="text1"/>
          </w:rPr>
          <w:t>6.1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Wielkości mierzone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_Toc531350214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5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4BEA168F" w14:textId="14AD9868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5" w:history="1">
        <w:r w:rsidR="00293C1F" w:rsidRPr="005377D3">
          <w:rPr>
            <w:rStyle w:val="Hipercze"/>
            <w:noProof/>
            <w:color w:val="000000" w:themeColor="text1"/>
          </w:rPr>
          <w:t>6.2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Wielkości wejściowe (wymuszające)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_Toc531350215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5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6E703753" w14:textId="777D92B4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6" w:history="1">
        <w:r w:rsidR="00293C1F" w:rsidRPr="005377D3">
          <w:rPr>
            <w:rStyle w:val="Hipercze"/>
            <w:noProof/>
            <w:color w:val="000000" w:themeColor="text1"/>
          </w:rPr>
          <w:t>6.3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Wielkości wyjściowe (odpowiedź układu)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_Toc531350216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5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62076103" w14:textId="58DEB3F9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7" w:history="1">
        <w:r w:rsidR="00293C1F" w:rsidRPr="005377D3">
          <w:rPr>
            <w:rStyle w:val="Hipercze"/>
            <w:noProof/>
            <w:color w:val="000000" w:themeColor="text1"/>
          </w:rPr>
          <w:t>6.4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Punkty pracy modułu wytwarzania energii (poziomy generowanej mocy).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_Toc531350217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5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5021A5A7" w14:textId="2C52A500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8" w:history="1">
        <w:r w:rsidR="00293C1F" w:rsidRPr="005377D3">
          <w:rPr>
            <w:rStyle w:val="Hipercze"/>
            <w:noProof/>
            <w:color w:val="000000" w:themeColor="text1"/>
          </w:rPr>
          <w:t>6.5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rFonts w:cs="Arial"/>
            <w:noProof/>
            <w:color w:val="000000" w:themeColor="text1"/>
          </w:rPr>
          <w:t>Próba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_Toc531350218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5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35DCD148" w14:textId="3E6CDDB3" w:rsidR="00293C1F" w:rsidRPr="005377D3" w:rsidRDefault="00C20518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50219" w:history="1">
        <w:r w:rsidR="00293C1F" w:rsidRPr="005377D3">
          <w:rPr>
            <w:rStyle w:val="Hipercze"/>
            <w:noProof/>
            <w:color w:val="000000" w:themeColor="text1"/>
          </w:rPr>
          <w:t>7</w:t>
        </w:r>
        <w:r w:rsidR="00293C1F" w:rsidRPr="005377D3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93C1F" w:rsidRPr="005377D3">
          <w:rPr>
            <w:rStyle w:val="Hipercze"/>
            <w:noProof/>
            <w:color w:val="000000" w:themeColor="text1"/>
          </w:rPr>
          <w:t>Kryteria oceny testu zgodności</w:t>
        </w:r>
        <w:r w:rsidR="00293C1F" w:rsidRPr="005377D3">
          <w:rPr>
            <w:noProof/>
            <w:color w:val="000000" w:themeColor="text1"/>
          </w:rPr>
          <w:tab/>
        </w:r>
        <w:r w:rsidR="00293C1F" w:rsidRPr="005377D3">
          <w:rPr>
            <w:noProof/>
            <w:color w:val="000000" w:themeColor="text1"/>
          </w:rPr>
          <w:fldChar w:fldCharType="begin"/>
        </w:r>
        <w:r w:rsidR="00293C1F" w:rsidRPr="005377D3">
          <w:rPr>
            <w:noProof/>
            <w:color w:val="000000" w:themeColor="text1"/>
          </w:rPr>
          <w:instrText xml:space="preserve"> PAGEREF _Toc531350219 \h </w:instrText>
        </w:r>
        <w:r w:rsidR="00293C1F" w:rsidRPr="005377D3">
          <w:rPr>
            <w:noProof/>
            <w:color w:val="000000" w:themeColor="text1"/>
          </w:rPr>
        </w:r>
        <w:r w:rsidR="00293C1F" w:rsidRPr="005377D3">
          <w:rPr>
            <w:noProof/>
            <w:color w:val="000000" w:themeColor="text1"/>
          </w:rPr>
          <w:fldChar w:fldCharType="separate"/>
        </w:r>
        <w:r w:rsidR="00130CE1" w:rsidRPr="005377D3">
          <w:rPr>
            <w:noProof/>
            <w:color w:val="000000" w:themeColor="text1"/>
          </w:rPr>
          <w:t>6</w:t>
        </w:r>
        <w:r w:rsidR="00293C1F" w:rsidRPr="005377D3">
          <w:rPr>
            <w:noProof/>
            <w:color w:val="000000" w:themeColor="text1"/>
          </w:rPr>
          <w:fldChar w:fldCharType="end"/>
        </w:r>
      </w:hyperlink>
    </w:p>
    <w:p w14:paraId="720DEF35" w14:textId="6FA190D5" w:rsidR="00EA33B0" w:rsidRPr="005377D3" w:rsidRDefault="00EA33B0" w:rsidP="00EA33B0">
      <w:pPr>
        <w:pStyle w:val="Spistreci1"/>
        <w:rPr>
          <w:color w:val="000000" w:themeColor="text1"/>
        </w:rPr>
      </w:pPr>
      <w:r w:rsidRPr="005377D3">
        <w:rPr>
          <w:color w:val="000000" w:themeColor="text1"/>
        </w:rPr>
        <w:fldChar w:fldCharType="end"/>
      </w:r>
    </w:p>
    <w:p w14:paraId="1B9EB326" w14:textId="77777777" w:rsidR="00EA33B0" w:rsidRPr="005377D3" w:rsidRDefault="00EA33B0" w:rsidP="00EA33B0">
      <w:pPr>
        <w:pStyle w:val="Spisilustracji"/>
        <w:tabs>
          <w:tab w:val="right" w:leader="dot" w:pos="9572"/>
        </w:tabs>
        <w:rPr>
          <w:rFonts w:ascii="Calibri" w:hAnsi="Calibri"/>
          <w:color w:val="000000" w:themeColor="text1"/>
          <w:szCs w:val="22"/>
          <w:lang w:val="pl-PL" w:eastAsia="pl-PL"/>
        </w:rPr>
      </w:pPr>
      <w:r w:rsidRPr="005377D3">
        <w:rPr>
          <w:color w:val="000000" w:themeColor="text1"/>
        </w:rPr>
        <w:fldChar w:fldCharType="begin"/>
      </w:r>
      <w:r w:rsidRPr="005377D3">
        <w:rPr>
          <w:color w:val="000000" w:themeColor="text1"/>
        </w:rPr>
        <w:instrText>TOC \c "Rysunek"</w:instrText>
      </w:r>
      <w:r w:rsidRPr="005377D3">
        <w:rPr>
          <w:color w:val="000000" w:themeColor="text1"/>
        </w:rPr>
        <w:fldChar w:fldCharType="end"/>
      </w:r>
    </w:p>
    <w:p w14:paraId="324B8C0D" w14:textId="77777777" w:rsidR="00EA33B0" w:rsidRPr="005377D3" w:rsidRDefault="00EA33B0" w:rsidP="00EA33B0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  <w:r w:rsidRPr="005377D3">
        <w:rPr>
          <w:color w:val="000000" w:themeColor="text1"/>
        </w:rPr>
        <w:br w:type="page"/>
      </w:r>
    </w:p>
    <w:p w14:paraId="1748A0FF" w14:textId="4AB9ED65" w:rsidR="00EA33B0" w:rsidRPr="005377D3" w:rsidRDefault="00EA33B0">
      <w:pPr>
        <w:pStyle w:val="Nagwek1"/>
        <w:rPr>
          <w:color w:val="000000" w:themeColor="text1"/>
        </w:rPr>
      </w:pPr>
      <w:bookmarkStart w:id="1" w:name="_Toc531350205"/>
      <w:r w:rsidRPr="005377D3">
        <w:rPr>
          <w:color w:val="000000" w:themeColor="text1"/>
        </w:rPr>
        <w:lastRenderedPageBreak/>
        <w:t>Cel i zakres</w:t>
      </w:r>
      <w:bookmarkEnd w:id="1"/>
    </w:p>
    <w:p w14:paraId="148906A3" w14:textId="77777777" w:rsidR="00D43148" w:rsidRPr="005377D3" w:rsidRDefault="00D43148" w:rsidP="00D43148">
      <w:pPr>
        <w:spacing w:after="200"/>
        <w:rPr>
          <w:color w:val="000000" w:themeColor="text1"/>
          <w:lang w:val="pl-PL"/>
        </w:rPr>
      </w:pPr>
      <w:r w:rsidRPr="005377D3">
        <w:rPr>
          <w:rFonts w:eastAsia="Times New Roman"/>
          <w:color w:val="000000" w:themeColor="text1"/>
          <w:lang w:val="pl-PL" w:eastAsia="pl-PL"/>
        </w:rPr>
        <w:t>Celem niniejszego dokumentu jest uszczegółowienie wymagań dotyczących testowania zgodności oraz sposobu ich przeprowadzania, na podstawie zapisów Rozporządzenia Komisji (UE) 2016/1447 z dnia</w:t>
      </w:r>
      <w:r w:rsidRPr="005377D3">
        <w:rPr>
          <w:rFonts w:eastAsia="Times New Roman"/>
          <w:color w:val="000000" w:themeColor="text1"/>
          <w:lang w:val="pl-PL" w:eastAsia="pl-PL"/>
        </w:rPr>
        <w:br/>
        <w:t xml:space="preserve">26 sierpnia 2016 r. (dalej: </w:t>
      </w:r>
      <w:r w:rsidRPr="005377D3">
        <w:rPr>
          <w:rFonts w:eastAsia="Times New Roman"/>
          <w:b/>
          <w:color w:val="000000" w:themeColor="text1"/>
          <w:lang w:val="pl-PL" w:eastAsia="pl-PL"/>
        </w:rPr>
        <w:t>NC HVDC</w:t>
      </w:r>
      <w:r w:rsidRPr="005377D3">
        <w:rPr>
          <w:rFonts w:eastAsia="Times New Roman"/>
          <w:color w:val="000000" w:themeColor="text1"/>
          <w:lang w:val="pl-PL" w:eastAsia="pl-PL"/>
        </w:rPr>
        <w:t>) oraz dokumentów związanych wynikających z zapisów NC HVDC.</w:t>
      </w:r>
    </w:p>
    <w:p w14:paraId="53FB6EFA" w14:textId="77777777" w:rsidR="00EA33B0" w:rsidRPr="005377D3" w:rsidRDefault="00EA33B0" w:rsidP="00EA33B0">
      <w:pPr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6FDD61EE" w14:textId="47A6DEFB" w:rsidR="00EA33B0" w:rsidRPr="005377D3" w:rsidRDefault="00EA33B0">
      <w:pPr>
        <w:pStyle w:val="Nagwek1"/>
        <w:rPr>
          <w:color w:val="000000" w:themeColor="text1"/>
        </w:rPr>
      </w:pPr>
      <w:bookmarkStart w:id="2" w:name="_Toc531350206"/>
      <w:r w:rsidRPr="005377D3">
        <w:rPr>
          <w:color w:val="000000" w:themeColor="text1"/>
        </w:rPr>
        <w:t>Definicje</w:t>
      </w:r>
      <w:bookmarkEnd w:id="2"/>
    </w:p>
    <w:p w14:paraId="1D8D712F" w14:textId="77777777" w:rsidR="00976A19" w:rsidRPr="005377D3" w:rsidRDefault="00976A19" w:rsidP="00976A19">
      <w:pPr>
        <w:spacing w:after="200"/>
        <w:rPr>
          <w:color w:val="000000" w:themeColor="text1"/>
          <w:lang w:val="pl-PL"/>
        </w:rPr>
      </w:pPr>
      <w:r w:rsidRPr="005377D3">
        <w:rPr>
          <w:rFonts w:eastAsia="Times New Roman"/>
          <w:b/>
          <w:bCs/>
          <w:color w:val="000000" w:themeColor="text1"/>
          <w:u w:val="single"/>
          <w:lang w:val="pl-PL"/>
        </w:rPr>
        <w:t>Definicje pojęć występujących w przedmiotowym dokumencie:</w:t>
      </w:r>
      <w:r w:rsidRPr="005377D3">
        <w:rPr>
          <w:rFonts w:eastAsia="Times New Roman"/>
          <w:b/>
          <w:color w:val="000000" w:themeColor="text1"/>
          <w:lang w:val="pl-PL"/>
        </w:rPr>
        <w:t xml:space="preserve"> </w:t>
      </w:r>
    </w:p>
    <w:p w14:paraId="563BE027" w14:textId="647E7624" w:rsidR="00976A19" w:rsidRPr="005377D3" w:rsidRDefault="00976A19" w:rsidP="00976A19">
      <w:pPr>
        <w:pStyle w:val="LO-normal1"/>
        <w:rPr>
          <w:rFonts w:eastAsia="Times New Roman"/>
          <w:color w:val="000000" w:themeColor="text1"/>
          <w:lang w:val="pl-PL"/>
        </w:rPr>
      </w:pPr>
      <w:r w:rsidRPr="005377D3">
        <w:rPr>
          <w:rFonts w:eastAsia="Times New Roman"/>
          <w:color w:val="000000" w:themeColor="text1"/>
          <w:lang w:val="pl-PL"/>
        </w:rPr>
        <w:t xml:space="preserve">Definicje występujące w niniejszym dokumencie są zgodnie z definicjami określonymi w </w:t>
      </w:r>
      <w:r w:rsidR="00D43148" w:rsidRPr="005377D3">
        <w:rPr>
          <w:rFonts w:eastAsia="Times New Roman"/>
          <w:color w:val="000000" w:themeColor="text1"/>
          <w:lang w:val="pl-PL" w:eastAsia="pl-PL"/>
        </w:rPr>
        <w:t>Rozporządzenia Komisji (UE) 2016</w:t>
      </w:r>
      <w:r w:rsidR="00D43148" w:rsidRPr="005377D3">
        <w:rPr>
          <w:rFonts w:eastAsia="Times New Roman"/>
          <w:color w:val="000000" w:themeColor="text1"/>
          <w:lang w:val="pl-PL"/>
        </w:rPr>
        <w:t xml:space="preserve">/631/ (dalej: </w:t>
      </w:r>
      <w:r w:rsidR="00D43148" w:rsidRPr="005377D3">
        <w:rPr>
          <w:rFonts w:eastAsia="Times New Roman"/>
          <w:b/>
          <w:color w:val="000000" w:themeColor="text1"/>
          <w:lang w:val="pl-PL"/>
        </w:rPr>
        <w:t xml:space="preserve">NC </w:t>
      </w:r>
      <w:proofErr w:type="spellStart"/>
      <w:r w:rsidR="00D43148" w:rsidRPr="005377D3">
        <w:rPr>
          <w:rFonts w:eastAsia="Times New Roman"/>
          <w:b/>
          <w:color w:val="000000" w:themeColor="text1"/>
          <w:lang w:val="pl-PL"/>
        </w:rPr>
        <w:t>RfG</w:t>
      </w:r>
      <w:proofErr w:type="spellEnd"/>
      <w:r w:rsidR="00D43148" w:rsidRPr="005377D3">
        <w:rPr>
          <w:rFonts w:eastAsia="Times New Roman"/>
          <w:color w:val="000000" w:themeColor="text1"/>
          <w:lang w:val="pl-PL"/>
        </w:rPr>
        <w:t xml:space="preserve">), NC HVDC oraz </w:t>
      </w:r>
      <w:r w:rsidR="00D43148" w:rsidRPr="005377D3">
        <w:rPr>
          <w:color w:val="000000" w:themeColor="text1"/>
          <w:szCs w:val="22"/>
          <w:lang w:val="pl-PL"/>
        </w:rPr>
        <w:t xml:space="preserve">w </w:t>
      </w:r>
      <w:r w:rsidR="007024BF" w:rsidRPr="005377D3">
        <w:rPr>
          <w:color w:val="000000" w:themeColor="text1"/>
          <w:szCs w:val="22"/>
          <w:lang w:val="pl-PL"/>
        </w:rPr>
        <w:t>dokumentach</w:t>
      </w:r>
      <w:r w:rsidR="00D43148" w:rsidRPr="005377D3">
        <w:rPr>
          <w:color w:val="000000" w:themeColor="text1"/>
          <w:szCs w:val="22"/>
          <w:lang w:val="pl-PL"/>
        </w:rPr>
        <w:t xml:space="preserve"> związanym z NC HVDC</w:t>
      </w:r>
      <w:r w:rsidR="007024BF" w:rsidRPr="005377D3">
        <w:rPr>
          <w:color w:val="000000" w:themeColor="text1"/>
          <w:szCs w:val="22"/>
          <w:lang w:val="pl-PL"/>
        </w:rPr>
        <w:t>:</w:t>
      </w:r>
    </w:p>
    <w:p w14:paraId="20349A82" w14:textId="6A64C655" w:rsidR="00976A19" w:rsidRPr="005377D3" w:rsidRDefault="00976A19" w:rsidP="00CF4A9E">
      <w:pPr>
        <w:pStyle w:val="LO-normal1"/>
        <w:overflowPunct w:val="0"/>
        <w:ind w:left="720"/>
        <w:rPr>
          <w:color w:val="000000" w:themeColor="text1"/>
          <w:lang w:val="pl-PL"/>
        </w:rPr>
      </w:pPr>
    </w:p>
    <w:p w14:paraId="41F90792" w14:textId="2D601673" w:rsidR="00976A19" w:rsidRPr="005377D3" w:rsidRDefault="00976A19" w:rsidP="00CB72DE">
      <w:pPr>
        <w:pStyle w:val="LO-normal1"/>
        <w:numPr>
          <w:ilvl w:val="0"/>
          <w:numId w:val="1"/>
        </w:numPr>
        <w:overflowPunct w:val="0"/>
        <w:rPr>
          <w:color w:val="000000" w:themeColor="text1"/>
        </w:rPr>
      </w:pPr>
      <w:r w:rsidRPr="005377D3">
        <w:rPr>
          <w:rFonts w:eastAsia="Times New Roman"/>
          <w:b/>
          <w:color w:val="000000" w:themeColor="text1"/>
          <w:lang w:val="pl-PL" w:eastAsia="pl-PL"/>
        </w:rPr>
        <w:t>Minimalny poziom generacji (P</w:t>
      </w:r>
      <w:r w:rsidR="000B4B92" w:rsidRPr="005377D3">
        <w:rPr>
          <w:rFonts w:eastAsia="Times New Roman"/>
          <w:b/>
          <w:color w:val="000000" w:themeColor="text1"/>
          <w:vertAlign w:val="subscript"/>
          <w:lang w:val="pl-PL" w:eastAsia="pl-PL"/>
        </w:rPr>
        <w:t>MIN</w:t>
      </w:r>
      <w:r w:rsidRPr="005377D3">
        <w:rPr>
          <w:rFonts w:eastAsia="Times New Roman"/>
          <w:b/>
          <w:color w:val="000000" w:themeColor="text1"/>
          <w:lang w:val="pl-PL" w:eastAsia="pl-PL"/>
        </w:rPr>
        <w:t>)</w:t>
      </w:r>
      <w:r w:rsidRPr="005377D3">
        <w:rPr>
          <w:rFonts w:eastAsia="Times New Roman"/>
          <w:color w:val="000000" w:themeColor="text1"/>
          <w:lang w:val="pl-PL" w:eastAsia="pl-PL"/>
        </w:rPr>
        <w:t xml:space="preserve"> – zgodnie z def. NC </w:t>
      </w:r>
      <w:proofErr w:type="spellStart"/>
      <w:r w:rsidRPr="005377D3">
        <w:rPr>
          <w:rFonts w:eastAsia="Times New Roman"/>
          <w:color w:val="000000" w:themeColor="text1"/>
          <w:lang w:val="pl-PL" w:eastAsia="pl-PL"/>
        </w:rPr>
        <w:t>RfG</w:t>
      </w:r>
      <w:proofErr w:type="spellEnd"/>
    </w:p>
    <w:p w14:paraId="09A44941" w14:textId="5A4A03F5" w:rsidR="00976A19" w:rsidRPr="005377D3" w:rsidRDefault="00976A19" w:rsidP="00CB72DE">
      <w:pPr>
        <w:pStyle w:val="LO-normal1"/>
        <w:numPr>
          <w:ilvl w:val="0"/>
          <w:numId w:val="1"/>
        </w:numPr>
        <w:overflowPunct w:val="0"/>
        <w:rPr>
          <w:color w:val="000000" w:themeColor="text1"/>
        </w:rPr>
      </w:pPr>
      <w:r w:rsidRPr="005377D3">
        <w:rPr>
          <w:b/>
          <w:color w:val="000000" w:themeColor="text1"/>
          <w:lang w:val="pl-PL"/>
        </w:rPr>
        <w:t>Moc maksymalna (P</w:t>
      </w:r>
      <w:r w:rsidR="000B4B92" w:rsidRPr="005377D3">
        <w:rPr>
          <w:b/>
          <w:color w:val="000000" w:themeColor="text1"/>
          <w:vertAlign w:val="subscript"/>
          <w:lang w:val="pl-PL"/>
        </w:rPr>
        <w:t>MAX</w:t>
      </w:r>
      <w:r w:rsidRPr="005377D3">
        <w:rPr>
          <w:b/>
          <w:color w:val="000000" w:themeColor="text1"/>
          <w:lang w:val="pl-PL"/>
        </w:rPr>
        <w:t>)</w:t>
      </w:r>
      <w:r w:rsidRPr="005377D3">
        <w:rPr>
          <w:color w:val="000000" w:themeColor="text1"/>
          <w:lang w:val="pl-PL"/>
        </w:rPr>
        <w:t xml:space="preserve"> – zgodnie z def. </w:t>
      </w:r>
      <w:r w:rsidRPr="005377D3">
        <w:rPr>
          <w:color w:val="000000" w:themeColor="text1"/>
        </w:rPr>
        <w:t xml:space="preserve">NC </w:t>
      </w:r>
      <w:proofErr w:type="spellStart"/>
      <w:r w:rsidRPr="005377D3">
        <w:rPr>
          <w:color w:val="000000" w:themeColor="text1"/>
        </w:rPr>
        <w:t>RfG</w:t>
      </w:r>
      <w:proofErr w:type="spellEnd"/>
    </w:p>
    <w:p w14:paraId="25341076" w14:textId="6D3E27E3" w:rsidR="002E24AC" w:rsidRPr="005377D3" w:rsidRDefault="002E24AC" w:rsidP="002E24AC">
      <w:pPr>
        <w:pStyle w:val="LO-normal1"/>
        <w:numPr>
          <w:ilvl w:val="0"/>
          <w:numId w:val="1"/>
        </w:numPr>
        <w:overflowPunct w:val="0"/>
        <w:rPr>
          <w:color w:val="000000" w:themeColor="text1"/>
          <w:lang w:val="pl-PL"/>
        </w:rPr>
      </w:pPr>
      <w:r w:rsidRPr="005377D3">
        <w:rPr>
          <w:b/>
          <w:color w:val="000000" w:themeColor="text1"/>
          <w:lang w:val="pl-PL"/>
        </w:rPr>
        <w:t xml:space="preserve">Moc maksymalna bierna </w:t>
      </w:r>
      <w:r w:rsidR="005E08A8" w:rsidRPr="005377D3">
        <w:rPr>
          <w:b/>
          <w:color w:val="000000" w:themeColor="text1"/>
          <w:lang w:val="pl-PL"/>
        </w:rPr>
        <w:t>w kierunku produkcji</w:t>
      </w:r>
      <w:r w:rsidRPr="005377D3">
        <w:rPr>
          <w:b/>
          <w:color w:val="000000" w:themeColor="text1"/>
          <w:lang w:val="pl-PL"/>
        </w:rPr>
        <w:t xml:space="preserve"> (</w:t>
      </w:r>
      <w:proofErr w:type="spellStart"/>
      <w:r w:rsidRPr="005377D3">
        <w:rPr>
          <w:b/>
          <w:color w:val="000000" w:themeColor="text1"/>
          <w:lang w:val="pl-PL"/>
        </w:rPr>
        <w:t>Q</w:t>
      </w:r>
      <w:r w:rsidRPr="005377D3">
        <w:rPr>
          <w:b/>
          <w:color w:val="000000" w:themeColor="text1"/>
          <w:vertAlign w:val="subscript"/>
          <w:lang w:val="pl-PL"/>
        </w:rPr>
        <w:t>maxp</w:t>
      </w:r>
      <w:proofErr w:type="spellEnd"/>
      <w:r w:rsidRPr="005377D3">
        <w:rPr>
          <w:b/>
          <w:color w:val="000000" w:themeColor="text1"/>
          <w:lang w:val="pl-PL"/>
        </w:rPr>
        <w:t>)</w:t>
      </w:r>
      <w:r w:rsidRPr="005377D3">
        <w:rPr>
          <w:color w:val="000000" w:themeColor="text1"/>
          <w:lang w:val="pl-PL"/>
        </w:rPr>
        <w:t xml:space="preserve"> – zgodnie profilem P-Q/</w:t>
      </w:r>
      <w:proofErr w:type="spellStart"/>
      <w:r w:rsidRPr="005377D3">
        <w:rPr>
          <w:color w:val="000000" w:themeColor="text1"/>
          <w:lang w:val="pl-PL"/>
        </w:rPr>
        <w:t>P</w:t>
      </w:r>
      <w:r w:rsidRPr="005377D3">
        <w:rPr>
          <w:color w:val="000000" w:themeColor="text1"/>
          <w:vertAlign w:val="subscript"/>
          <w:lang w:val="pl-PL"/>
        </w:rPr>
        <w:t>max</w:t>
      </w:r>
      <w:proofErr w:type="spellEnd"/>
      <w:r w:rsidRPr="005377D3">
        <w:rPr>
          <w:color w:val="000000" w:themeColor="text1"/>
          <w:lang w:val="pl-PL"/>
        </w:rPr>
        <w:t xml:space="preserve"> z </w:t>
      </w:r>
      <w:r w:rsidR="005E08A8" w:rsidRPr="005377D3">
        <w:rPr>
          <w:color w:val="000000" w:themeColor="text1"/>
          <w:lang w:val="pl-PL"/>
        </w:rPr>
        <w:t xml:space="preserve">Art. </w:t>
      </w:r>
      <w:r w:rsidR="00CE4EF6" w:rsidRPr="005377D3">
        <w:rPr>
          <w:color w:val="000000" w:themeColor="text1"/>
          <w:lang w:val="pl-PL"/>
        </w:rPr>
        <w:t>18</w:t>
      </w:r>
      <w:r w:rsidR="005E08A8" w:rsidRPr="005377D3">
        <w:rPr>
          <w:color w:val="000000" w:themeColor="text1"/>
          <w:lang w:val="pl-PL"/>
        </w:rPr>
        <w:t xml:space="preserve"> i Art. </w:t>
      </w:r>
      <w:r w:rsidR="00CE4EF6" w:rsidRPr="005377D3">
        <w:rPr>
          <w:color w:val="000000" w:themeColor="text1"/>
          <w:lang w:val="pl-PL"/>
        </w:rPr>
        <w:t>21</w:t>
      </w:r>
      <w:r w:rsidR="005E08A8" w:rsidRPr="005377D3">
        <w:rPr>
          <w:color w:val="000000" w:themeColor="text1"/>
          <w:lang w:val="pl-PL"/>
        </w:rPr>
        <w:t xml:space="preserve"> </w:t>
      </w:r>
      <w:r w:rsidRPr="005377D3">
        <w:rPr>
          <w:color w:val="000000" w:themeColor="text1"/>
          <w:lang w:val="pl-PL"/>
        </w:rPr>
        <w:t xml:space="preserve">NC </w:t>
      </w:r>
      <w:proofErr w:type="spellStart"/>
      <w:r w:rsidRPr="005377D3">
        <w:rPr>
          <w:color w:val="000000" w:themeColor="text1"/>
          <w:lang w:val="pl-PL"/>
        </w:rPr>
        <w:t>RfG</w:t>
      </w:r>
      <w:proofErr w:type="spellEnd"/>
    </w:p>
    <w:p w14:paraId="2C09E82D" w14:textId="351A5F83" w:rsidR="002E24AC" w:rsidRPr="005377D3" w:rsidRDefault="002E24AC" w:rsidP="00CF4A9E">
      <w:pPr>
        <w:pStyle w:val="Akapitzlist"/>
        <w:numPr>
          <w:ilvl w:val="0"/>
          <w:numId w:val="1"/>
        </w:numPr>
        <w:spacing w:before="0" w:after="160" w:line="259" w:lineRule="auto"/>
        <w:contextualSpacing/>
        <w:jc w:val="left"/>
        <w:rPr>
          <w:rFonts w:cstheme="minorHAnsi"/>
          <w:color w:val="000000" w:themeColor="text1"/>
        </w:rPr>
      </w:pPr>
      <w:r w:rsidRPr="005377D3">
        <w:rPr>
          <w:b/>
          <w:color w:val="000000" w:themeColor="text1"/>
        </w:rPr>
        <w:t xml:space="preserve">Moc maksymalna bierna </w:t>
      </w:r>
      <w:r w:rsidR="005E08A8" w:rsidRPr="005377D3">
        <w:rPr>
          <w:b/>
          <w:color w:val="000000" w:themeColor="text1"/>
        </w:rPr>
        <w:t>w kierunku zużycia</w:t>
      </w:r>
      <w:r w:rsidRPr="005377D3">
        <w:rPr>
          <w:b/>
          <w:color w:val="000000" w:themeColor="text1"/>
        </w:rPr>
        <w:t xml:space="preserve"> (</w:t>
      </w:r>
      <w:proofErr w:type="spellStart"/>
      <w:r w:rsidRPr="005377D3">
        <w:rPr>
          <w:b/>
          <w:color w:val="000000" w:themeColor="text1"/>
        </w:rPr>
        <w:t>Q</w:t>
      </w:r>
      <w:r w:rsidRPr="005377D3">
        <w:rPr>
          <w:b/>
          <w:color w:val="000000" w:themeColor="text1"/>
          <w:vertAlign w:val="subscript"/>
        </w:rPr>
        <w:t>max</w:t>
      </w:r>
      <w:r w:rsidR="005E08A8" w:rsidRPr="005377D3">
        <w:rPr>
          <w:b/>
          <w:color w:val="000000" w:themeColor="text1"/>
          <w:vertAlign w:val="subscript"/>
        </w:rPr>
        <w:t>z</w:t>
      </w:r>
      <w:proofErr w:type="spellEnd"/>
      <w:r w:rsidRPr="005377D3">
        <w:rPr>
          <w:b/>
          <w:color w:val="000000" w:themeColor="text1"/>
        </w:rPr>
        <w:t>)</w:t>
      </w:r>
      <w:r w:rsidRPr="005377D3">
        <w:rPr>
          <w:color w:val="000000" w:themeColor="text1"/>
        </w:rPr>
        <w:t xml:space="preserve"> – zgodnie profilem P-Q/</w:t>
      </w:r>
      <w:proofErr w:type="spellStart"/>
      <w:r w:rsidRPr="005377D3">
        <w:rPr>
          <w:color w:val="000000" w:themeColor="text1"/>
        </w:rPr>
        <w:t>P</w:t>
      </w:r>
      <w:r w:rsidRPr="005377D3">
        <w:rPr>
          <w:color w:val="000000" w:themeColor="text1"/>
          <w:vertAlign w:val="subscript"/>
        </w:rPr>
        <w:t>max</w:t>
      </w:r>
      <w:proofErr w:type="spellEnd"/>
      <w:r w:rsidRPr="005377D3">
        <w:rPr>
          <w:color w:val="000000" w:themeColor="text1"/>
        </w:rPr>
        <w:t xml:space="preserve"> z </w:t>
      </w:r>
      <w:r w:rsidR="00CE4EF6" w:rsidRPr="005377D3">
        <w:rPr>
          <w:color w:val="000000" w:themeColor="text1"/>
        </w:rPr>
        <w:t xml:space="preserve">Art. 18 i Art. 21 </w:t>
      </w:r>
      <w:r w:rsidRPr="005377D3">
        <w:rPr>
          <w:color w:val="000000" w:themeColor="text1"/>
        </w:rPr>
        <w:t xml:space="preserve">NC </w:t>
      </w:r>
      <w:proofErr w:type="spellStart"/>
      <w:r w:rsidRPr="005377D3">
        <w:rPr>
          <w:color w:val="000000" w:themeColor="text1"/>
        </w:rPr>
        <w:t>RfG</w:t>
      </w:r>
      <w:proofErr w:type="spellEnd"/>
    </w:p>
    <w:p w14:paraId="2EBCBC3E" w14:textId="11D4F837" w:rsidR="002F4622" w:rsidRPr="005377D3" w:rsidRDefault="002F4622" w:rsidP="002F4622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theme="minorHAnsi"/>
          <w:color w:val="000000" w:themeColor="text1"/>
        </w:rPr>
      </w:pPr>
      <w:r w:rsidRPr="005377D3">
        <w:rPr>
          <w:rFonts w:cstheme="minorHAnsi"/>
          <w:b/>
          <w:color w:val="000000" w:themeColor="text1"/>
        </w:rPr>
        <w:t xml:space="preserve">Moc bazowa </w:t>
      </w:r>
      <w:r w:rsidRPr="005377D3">
        <w:rPr>
          <w:color w:val="000000" w:themeColor="text1"/>
        </w:rPr>
        <w:t xml:space="preserve">– </w:t>
      </w:r>
      <w:r w:rsidR="00293C1F" w:rsidRPr="005377D3">
        <w:rPr>
          <w:rFonts w:cs="Arial"/>
          <w:color w:val="000000" w:themeColor="text1"/>
        </w:rPr>
        <w:t xml:space="preserve">specyficzna dla danej technologii wytwarzania moc PGM będąca </w:t>
      </w:r>
      <w:proofErr w:type="gramStart"/>
      <w:r w:rsidR="00293C1F" w:rsidRPr="005377D3">
        <w:rPr>
          <w:rFonts w:cs="Arial"/>
          <w:color w:val="000000" w:themeColor="text1"/>
        </w:rPr>
        <w:t>mocą</w:t>
      </w:r>
      <w:proofErr w:type="gramEnd"/>
      <w:r w:rsidR="00293C1F" w:rsidRPr="005377D3">
        <w:rPr>
          <w:rFonts w:cs="Arial"/>
          <w:color w:val="000000" w:themeColor="text1"/>
        </w:rPr>
        <w:t xml:space="preserve"> wokoło której działają regulacje LFSM, FSM i Odbudowy częstotliwości</w:t>
      </w:r>
      <w:r w:rsidRPr="005377D3">
        <w:rPr>
          <w:rFonts w:cstheme="minorHAnsi"/>
          <w:color w:val="000000" w:themeColor="text1"/>
        </w:rPr>
        <w:t>.</w:t>
      </w:r>
    </w:p>
    <w:p w14:paraId="1126B657" w14:textId="77777777" w:rsidR="007024BF" w:rsidRPr="005377D3" w:rsidRDefault="007024BF" w:rsidP="007024BF">
      <w:pPr>
        <w:pStyle w:val="Akapitzlist"/>
        <w:numPr>
          <w:ilvl w:val="0"/>
          <w:numId w:val="1"/>
        </w:numPr>
        <w:spacing w:before="0" w:after="160" w:line="360" w:lineRule="auto"/>
        <w:contextualSpacing/>
        <w:rPr>
          <w:rFonts w:cs="Arial"/>
          <w:color w:val="000000" w:themeColor="text1"/>
        </w:rPr>
      </w:pPr>
      <w:r w:rsidRPr="005377D3">
        <w:rPr>
          <w:rFonts w:cs="Arial"/>
          <w:b/>
          <w:color w:val="000000" w:themeColor="text1"/>
          <w:szCs w:val="22"/>
        </w:rPr>
        <w:t>Procedura testowania, symulacji i certyfikacji PPM DC</w:t>
      </w:r>
      <w:r w:rsidRPr="005377D3">
        <w:rPr>
          <w:b/>
          <w:color w:val="000000" w:themeColor="text1"/>
          <w:szCs w:val="22"/>
        </w:rPr>
        <w:t xml:space="preserve"> – </w:t>
      </w:r>
      <w:r w:rsidRPr="005377D3">
        <w:rPr>
          <w:rFonts w:cs="Arial"/>
          <w:color w:val="000000" w:themeColor="text1"/>
          <w:szCs w:val="22"/>
        </w:rPr>
        <w:t xml:space="preserve">dokument </w:t>
      </w:r>
      <w:r w:rsidRPr="005377D3">
        <w:rPr>
          <w:rFonts w:cs="Arial"/>
          <w:color w:val="000000" w:themeColor="text1"/>
        </w:rPr>
        <w:t>pt.</w:t>
      </w:r>
      <w:r w:rsidRPr="005377D3">
        <w:rPr>
          <w:rFonts w:cs="Arial"/>
          <w:color w:val="000000" w:themeColor="text1"/>
          <w:szCs w:val="22"/>
        </w:rPr>
        <w:t>: „</w:t>
      </w:r>
      <w:r w:rsidRPr="005377D3">
        <w:rPr>
          <w:rFonts w:cs="Arial"/>
          <w:i/>
          <w:color w:val="000000" w:themeColor="text1"/>
          <w:szCs w:val="22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5377D3">
        <w:rPr>
          <w:rFonts w:cs="Arial"/>
          <w:color w:val="000000" w:themeColor="text1"/>
        </w:rPr>
        <w:t>”</w:t>
      </w:r>
    </w:p>
    <w:p w14:paraId="324310A7" w14:textId="77777777" w:rsidR="007024BF" w:rsidRPr="005377D3" w:rsidRDefault="007024BF" w:rsidP="007024BF">
      <w:pPr>
        <w:pStyle w:val="Akapitzlist"/>
        <w:spacing w:before="0" w:after="160"/>
        <w:ind w:left="720"/>
        <w:contextualSpacing/>
        <w:jc w:val="left"/>
        <w:rPr>
          <w:rFonts w:cstheme="minorHAnsi"/>
          <w:color w:val="000000" w:themeColor="text1"/>
        </w:rPr>
      </w:pPr>
    </w:p>
    <w:p w14:paraId="31630578" w14:textId="2CE1F3CB" w:rsidR="00836FCA" w:rsidRPr="005377D3" w:rsidRDefault="00836FCA" w:rsidP="00CF4A9E">
      <w:pPr>
        <w:spacing w:after="0" w:line="240" w:lineRule="auto"/>
        <w:jc w:val="left"/>
        <w:rPr>
          <w:rFonts w:eastAsia="Times New Roman"/>
          <w:b/>
          <w:color w:val="000000" w:themeColor="text1"/>
          <w:lang w:val="pl-PL" w:eastAsia="pl-PL"/>
        </w:rPr>
      </w:pPr>
      <w:r w:rsidRPr="005377D3">
        <w:rPr>
          <w:b/>
          <w:color w:val="000000" w:themeColor="text1"/>
          <w:lang w:val="pl-PL"/>
        </w:rPr>
        <w:br w:type="page"/>
      </w:r>
    </w:p>
    <w:p w14:paraId="007B8619" w14:textId="567BCD70" w:rsidR="00EA33B0" w:rsidRPr="005377D3" w:rsidRDefault="00204035">
      <w:pPr>
        <w:pStyle w:val="Nagwek1"/>
        <w:rPr>
          <w:color w:val="000000" w:themeColor="text1"/>
        </w:rPr>
      </w:pPr>
      <w:bookmarkStart w:id="3" w:name="_Toc531350207"/>
      <w:r w:rsidRPr="005377D3">
        <w:rPr>
          <w:color w:val="000000" w:themeColor="text1"/>
        </w:rPr>
        <w:lastRenderedPageBreak/>
        <w:t>C</w:t>
      </w:r>
      <w:r w:rsidR="007C4FB4" w:rsidRPr="005377D3">
        <w:rPr>
          <w:color w:val="000000" w:themeColor="text1"/>
        </w:rPr>
        <w:t>el testu</w:t>
      </w:r>
      <w:bookmarkEnd w:id="3"/>
    </w:p>
    <w:p w14:paraId="3A66B558" w14:textId="325A28B5" w:rsidR="007C4FB4" w:rsidRPr="005377D3" w:rsidRDefault="007C4FB4" w:rsidP="00667205">
      <w:pPr>
        <w:spacing w:after="200"/>
        <w:ind w:left="567"/>
        <w:rPr>
          <w:color w:val="000000" w:themeColor="text1"/>
          <w:szCs w:val="22"/>
          <w:lang w:val="pl-PL"/>
        </w:rPr>
      </w:pPr>
      <w:r w:rsidRPr="005377D3">
        <w:rPr>
          <w:color w:val="000000" w:themeColor="text1"/>
          <w:szCs w:val="22"/>
          <w:lang w:val="pl-PL"/>
        </w:rPr>
        <w:t xml:space="preserve">Celem testu jest potwierdzenie zdolności technicznej modułu </w:t>
      </w:r>
      <w:r w:rsidR="00A7211A" w:rsidRPr="005377D3">
        <w:rPr>
          <w:color w:val="000000" w:themeColor="text1"/>
          <w:szCs w:val="22"/>
          <w:lang w:val="pl-PL"/>
        </w:rPr>
        <w:t xml:space="preserve">parków </w:t>
      </w:r>
      <w:r w:rsidRPr="005377D3">
        <w:rPr>
          <w:color w:val="000000" w:themeColor="text1"/>
          <w:szCs w:val="22"/>
          <w:lang w:val="pl-PL"/>
        </w:rPr>
        <w:t xml:space="preserve">energii do </w:t>
      </w:r>
      <w:r w:rsidR="00A7211A" w:rsidRPr="005377D3">
        <w:rPr>
          <w:color w:val="000000" w:themeColor="text1"/>
          <w:lang w:val="pl-PL"/>
        </w:rPr>
        <w:t xml:space="preserve">regulacji </w:t>
      </w:r>
      <w:r w:rsidR="00D84F8A" w:rsidRPr="005377D3">
        <w:rPr>
          <w:color w:val="000000" w:themeColor="text1"/>
          <w:lang w:val="pl-PL"/>
        </w:rPr>
        <w:t xml:space="preserve">mocy </w:t>
      </w:r>
      <w:r w:rsidR="00A7211A" w:rsidRPr="005377D3">
        <w:rPr>
          <w:color w:val="000000" w:themeColor="text1"/>
          <w:lang w:val="pl-PL"/>
        </w:rPr>
        <w:t>czynnej</w:t>
      </w:r>
      <w:r w:rsidRPr="005377D3">
        <w:rPr>
          <w:color w:val="000000" w:themeColor="text1"/>
          <w:szCs w:val="22"/>
          <w:lang w:val="pl-PL"/>
        </w:rPr>
        <w:t>.</w:t>
      </w:r>
    </w:p>
    <w:p w14:paraId="6AC74417" w14:textId="2CA80FBC" w:rsidR="00EA33B0" w:rsidRPr="005377D3" w:rsidRDefault="00EA33B0" w:rsidP="00667205">
      <w:pPr>
        <w:pStyle w:val="Akapitzlist"/>
        <w:spacing w:before="0" w:after="200"/>
        <w:ind w:left="567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 xml:space="preserve">Testy powinny być wykonywane zgodnie z zapisami </w:t>
      </w:r>
      <w:r w:rsidR="00D01141" w:rsidRPr="005377D3">
        <w:rPr>
          <w:color w:val="000000" w:themeColor="text1"/>
          <w:szCs w:val="22"/>
        </w:rPr>
        <w:t xml:space="preserve">art. 72 ust. </w:t>
      </w:r>
      <w:proofErr w:type="gramStart"/>
      <w:r w:rsidR="00D01141" w:rsidRPr="005377D3">
        <w:rPr>
          <w:color w:val="000000" w:themeColor="text1"/>
          <w:szCs w:val="22"/>
        </w:rPr>
        <w:t>10  NC</w:t>
      </w:r>
      <w:proofErr w:type="gramEnd"/>
      <w:r w:rsidR="00D01141" w:rsidRPr="005377D3">
        <w:rPr>
          <w:color w:val="000000" w:themeColor="text1"/>
          <w:szCs w:val="22"/>
        </w:rPr>
        <w:t xml:space="preserve"> HVDC, w związku z art. 48 ust. 2 NC </w:t>
      </w:r>
      <w:proofErr w:type="spellStart"/>
      <w:r w:rsidR="00D01141" w:rsidRPr="005377D3">
        <w:rPr>
          <w:color w:val="000000" w:themeColor="text1"/>
          <w:szCs w:val="22"/>
        </w:rPr>
        <w:t>RfG</w:t>
      </w:r>
      <w:proofErr w:type="spellEnd"/>
      <w:r w:rsidR="00D01141" w:rsidRPr="005377D3">
        <w:rPr>
          <w:color w:val="000000" w:themeColor="text1"/>
          <w:szCs w:val="22"/>
        </w:rPr>
        <w:t xml:space="preserve">, </w:t>
      </w:r>
      <w:r w:rsidRPr="005377D3">
        <w:rPr>
          <w:color w:val="000000" w:themeColor="text1"/>
          <w:szCs w:val="22"/>
        </w:rPr>
        <w:t xml:space="preserve">przy czym zgodnie z zasadami określonymi w </w:t>
      </w:r>
      <w:r w:rsidR="007024BF" w:rsidRPr="005377D3">
        <w:rPr>
          <w:i/>
          <w:color w:val="000000" w:themeColor="text1"/>
          <w:szCs w:val="22"/>
        </w:rPr>
        <w:t>P</w:t>
      </w:r>
      <w:r w:rsidRPr="005377D3">
        <w:rPr>
          <w:i/>
          <w:color w:val="000000" w:themeColor="text1"/>
          <w:szCs w:val="22"/>
        </w:rPr>
        <w:t>rocedurze</w:t>
      </w:r>
      <w:r w:rsidR="007024BF" w:rsidRPr="005377D3">
        <w:rPr>
          <w:i/>
          <w:color w:val="000000" w:themeColor="text1"/>
          <w:szCs w:val="22"/>
        </w:rPr>
        <w:t xml:space="preserve"> testowania, symulacji i certyfikacji PPM DC</w:t>
      </w:r>
      <w:r w:rsidRPr="005377D3">
        <w:rPr>
          <w:color w:val="000000" w:themeColor="text1"/>
          <w:szCs w:val="22"/>
        </w:rPr>
        <w:t>, w przypadku zdolności, dla których weryfikacji jest wymagane przeprowadzenie testów zgodności, nie dopuszcza się wykorzystania certyfikatów, jako potwierdzenia danej zdolności.</w:t>
      </w:r>
      <w:r w:rsidR="007C4FB4" w:rsidRPr="005377D3">
        <w:rPr>
          <w:color w:val="000000" w:themeColor="text1"/>
          <w:szCs w:val="22"/>
        </w:rPr>
        <w:t xml:space="preserve"> </w:t>
      </w:r>
    </w:p>
    <w:p w14:paraId="798C167C" w14:textId="77777777" w:rsidR="00EA33B0" w:rsidRPr="005377D3" w:rsidRDefault="00EA33B0">
      <w:pPr>
        <w:pStyle w:val="Nagwek1"/>
        <w:rPr>
          <w:color w:val="000000" w:themeColor="text1"/>
        </w:rPr>
      </w:pPr>
      <w:bookmarkStart w:id="4" w:name="_Toc531350208"/>
      <w:r w:rsidRPr="005377D3">
        <w:rPr>
          <w:color w:val="000000" w:themeColor="text1"/>
        </w:rPr>
        <w:t>Zasady przeprowadzania testów</w:t>
      </w:r>
      <w:bookmarkEnd w:id="4"/>
    </w:p>
    <w:p w14:paraId="0E47797A" w14:textId="150732F6" w:rsidR="00EA33B0" w:rsidRPr="005377D3" w:rsidRDefault="00EA33B0" w:rsidP="00CF4A9E">
      <w:pPr>
        <w:pStyle w:val="Nagwek1"/>
        <w:numPr>
          <w:ilvl w:val="1"/>
          <w:numId w:val="11"/>
        </w:numPr>
        <w:rPr>
          <w:color w:val="000000" w:themeColor="text1"/>
        </w:rPr>
      </w:pPr>
      <w:bookmarkStart w:id="5" w:name="_Toc531350209"/>
      <w:r w:rsidRPr="005377D3">
        <w:rPr>
          <w:color w:val="000000" w:themeColor="text1"/>
        </w:rPr>
        <w:t>Podstawowe informacje w zakresie ramowego programu przeprowadzania testów zgodności</w:t>
      </w:r>
      <w:bookmarkEnd w:id="5"/>
    </w:p>
    <w:p w14:paraId="670BFC7C" w14:textId="19F4AAE4" w:rsidR="00EA33B0" w:rsidRPr="005377D3" w:rsidRDefault="00EA33B0" w:rsidP="00EA33B0">
      <w:pPr>
        <w:pStyle w:val="Akapitzlist"/>
        <w:spacing w:before="0" w:after="200"/>
        <w:ind w:left="567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 xml:space="preserve">Ogólne zasady przeprowadzania testów określono w dokumencie związanych z NC </w:t>
      </w:r>
      <w:r w:rsidR="00AB1147" w:rsidRPr="005377D3">
        <w:rPr>
          <w:color w:val="000000" w:themeColor="text1"/>
          <w:szCs w:val="22"/>
        </w:rPr>
        <w:t xml:space="preserve">HVDC </w:t>
      </w:r>
      <w:r w:rsidRPr="005377D3">
        <w:rPr>
          <w:color w:val="000000" w:themeColor="text1"/>
          <w:szCs w:val="22"/>
        </w:rPr>
        <w:t xml:space="preserve">określającym procedurę </w:t>
      </w:r>
      <w:r w:rsidR="007024BF" w:rsidRPr="005377D3">
        <w:rPr>
          <w:color w:val="000000" w:themeColor="text1"/>
          <w:szCs w:val="22"/>
        </w:rPr>
        <w:t>testowania, symulacji i certyfikacji PPM DC</w:t>
      </w:r>
      <w:r w:rsidRPr="005377D3">
        <w:rPr>
          <w:color w:val="000000" w:themeColor="text1"/>
          <w:szCs w:val="22"/>
        </w:rPr>
        <w:t>) a niniejsze dokument jest ściśle z nim powiązany.</w:t>
      </w:r>
    </w:p>
    <w:p w14:paraId="382D2F38" w14:textId="65581E54" w:rsidR="00EA33B0" w:rsidRPr="005377D3" w:rsidRDefault="00EA33B0" w:rsidP="00CF4A9E">
      <w:pPr>
        <w:pStyle w:val="Nagwek1"/>
        <w:numPr>
          <w:ilvl w:val="1"/>
          <w:numId w:val="11"/>
        </w:numPr>
        <w:rPr>
          <w:color w:val="000000" w:themeColor="text1"/>
        </w:rPr>
      </w:pPr>
      <w:bookmarkStart w:id="6" w:name="_Toc531350210"/>
      <w:r w:rsidRPr="005377D3">
        <w:rPr>
          <w:color w:val="000000" w:themeColor="text1"/>
        </w:rPr>
        <w:t xml:space="preserve">Ramowy program przeprowadzania testów w zakresie zdolności </w:t>
      </w:r>
      <w:r w:rsidR="00976A19" w:rsidRPr="005377D3">
        <w:rPr>
          <w:color w:val="000000" w:themeColor="text1"/>
          <w:szCs w:val="22"/>
        </w:rPr>
        <w:t>do generacji mocy biernej</w:t>
      </w:r>
      <w:bookmarkEnd w:id="6"/>
      <w:r w:rsidRPr="005377D3">
        <w:rPr>
          <w:color w:val="000000" w:themeColor="text1"/>
          <w:szCs w:val="22"/>
        </w:rPr>
        <w:t xml:space="preserve"> </w:t>
      </w:r>
    </w:p>
    <w:p w14:paraId="387936CF" w14:textId="763647A9" w:rsidR="00EA33B0" w:rsidRPr="005377D3" w:rsidRDefault="00EA33B0">
      <w:pPr>
        <w:pStyle w:val="Nagwek1"/>
        <w:numPr>
          <w:ilvl w:val="2"/>
          <w:numId w:val="11"/>
        </w:numPr>
        <w:rPr>
          <w:color w:val="000000" w:themeColor="text1"/>
        </w:rPr>
      </w:pPr>
      <w:bookmarkStart w:id="7" w:name="_Toc531350211"/>
      <w:r w:rsidRPr="005377D3">
        <w:rPr>
          <w:color w:val="000000" w:themeColor="text1"/>
        </w:rPr>
        <w:t>Parametry techniczne</w:t>
      </w:r>
      <w:bookmarkEnd w:id="7"/>
      <w:r w:rsidRPr="005377D3">
        <w:rPr>
          <w:color w:val="000000" w:themeColor="text1"/>
        </w:rPr>
        <w:t xml:space="preserve"> </w:t>
      </w:r>
    </w:p>
    <w:p w14:paraId="6CA22729" w14:textId="79DDBE5A" w:rsidR="007C4FB4" w:rsidRPr="005377D3" w:rsidRDefault="007C4FB4" w:rsidP="00DF7F5C">
      <w:pPr>
        <w:spacing w:after="200"/>
        <w:rPr>
          <w:color w:val="000000" w:themeColor="text1"/>
          <w:szCs w:val="22"/>
          <w:lang w:val="pl-PL"/>
        </w:rPr>
      </w:pPr>
      <w:bookmarkStart w:id="8" w:name="_Toc518982183"/>
      <w:r w:rsidRPr="005377D3">
        <w:rPr>
          <w:color w:val="000000" w:themeColor="text1"/>
          <w:szCs w:val="22"/>
          <w:lang w:val="pl-PL"/>
        </w:rPr>
        <w:t>Określenie i poprawne zdefiniowanie niżej wymienionych parametrów musi się odbyć co najmniej na etapie określania programu szczegółowego:</w:t>
      </w:r>
    </w:p>
    <w:p w14:paraId="1D387745" w14:textId="1F519F14" w:rsidR="00EA33B0" w:rsidRPr="005377D3" w:rsidRDefault="00EA33B0" w:rsidP="00CB72DE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>Moc maksymalna</w:t>
      </w:r>
      <w:r w:rsidR="005F090F" w:rsidRPr="005377D3">
        <w:rPr>
          <w:color w:val="000000" w:themeColor="text1"/>
          <w:szCs w:val="22"/>
        </w:rPr>
        <w:t xml:space="preserve"> </w:t>
      </w:r>
      <w:r w:rsidR="000B4B92" w:rsidRPr="005377D3">
        <w:rPr>
          <w:color w:val="000000" w:themeColor="text1"/>
          <w:szCs w:val="22"/>
        </w:rPr>
        <w:t>–</w:t>
      </w:r>
      <w:r w:rsidR="005F090F" w:rsidRPr="005377D3">
        <w:rPr>
          <w:color w:val="000000" w:themeColor="text1"/>
          <w:szCs w:val="22"/>
        </w:rPr>
        <w:t xml:space="preserve"> P</w:t>
      </w:r>
      <w:r w:rsidR="000B4B92" w:rsidRPr="005377D3">
        <w:rPr>
          <w:color w:val="000000" w:themeColor="text1"/>
          <w:szCs w:val="22"/>
          <w:vertAlign w:val="subscript"/>
        </w:rPr>
        <w:t>MAX</w:t>
      </w:r>
      <w:r w:rsidRPr="005377D3">
        <w:rPr>
          <w:color w:val="000000" w:themeColor="text1"/>
          <w:szCs w:val="22"/>
        </w:rPr>
        <w:t>,</w:t>
      </w:r>
      <w:bookmarkEnd w:id="8"/>
    </w:p>
    <w:p w14:paraId="1A446444" w14:textId="4B112E70" w:rsidR="00EA33B0" w:rsidRPr="005377D3" w:rsidRDefault="00EA33B0" w:rsidP="00CB72DE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bookmarkStart w:id="9" w:name="_Toc518982184"/>
      <w:r w:rsidRPr="005377D3">
        <w:rPr>
          <w:color w:val="000000" w:themeColor="text1"/>
          <w:szCs w:val="22"/>
        </w:rPr>
        <w:t>Moc minimalna</w:t>
      </w:r>
      <w:bookmarkEnd w:id="9"/>
      <w:r w:rsidR="005F090F" w:rsidRPr="005377D3">
        <w:rPr>
          <w:color w:val="000000" w:themeColor="text1"/>
          <w:szCs w:val="22"/>
        </w:rPr>
        <w:t xml:space="preserve"> </w:t>
      </w:r>
      <w:r w:rsidR="000B4B92" w:rsidRPr="005377D3">
        <w:rPr>
          <w:color w:val="000000" w:themeColor="text1"/>
          <w:szCs w:val="22"/>
        </w:rPr>
        <w:t>–</w:t>
      </w:r>
      <w:r w:rsidR="005F090F" w:rsidRPr="005377D3">
        <w:rPr>
          <w:color w:val="000000" w:themeColor="text1"/>
          <w:szCs w:val="22"/>
        </w:rPr>
        <w:t xml:space="preserve"> P</w:t>
      </w:r>
      <w:r w:rsidR="000B4B92" w:rsidRPr="005377D3">
        <w:rPr>
          <w:color w:val="000000" w:themeColor="text1"/>
          <w:szCs w:val="22"/>
          <w:vertAlign w:val="subscript"/>
        </w:rPr>
        <w:t>MAX</w:t>
      </w:r>
      <w:r w:rsidR="005F090F" w:rsidRPr="005377D3">
        <w:rPr>
          <w:color w:val="000000" w:themeColor="text1"/>
          <w:szCs w:val="22"/>
        </w:rPr>
        <w:t>,</w:t>
      </w:r>
    </w:p>
    <w:p w14:paraId="3A18165F" w14:textId="4D1EDC4F" w:rsidR="002F4622" w:rsidRPr="005377D3" w:rsidRDefault="002F4622" w:rsidP="002F4622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r w:rsidRPr="005377D3">
        <w:rPr>
          <w:rFonts w:cs="Arial"/>
          <w:color w:val="000000" w:themeColor="text1"/>
        </w:rPr>
        <w:t>Maksymalny gradient zmiany mocy czynnej w zakresie od P</w:t>
      </w:r>
      <w:r w:rsidR="000B4B92" w:rsidRPr="005377D3">
        <w:rPr>
          <w:rFonts w:cs="Arial"/>
          <w:color w:val="000000" w:themeColor="text1"/>
          <w:vertAlign w:val="subscript"/>
        </w:rPr>
        <w:t>MIN</w:t>
      </w:r>
      <w:r w:rsidRPr="005377D3">
        <w:rPr>
          <w:rFonts w:cs="Arial"/>
          <w:color w:val="000000" w:themeColor="text1"/>
          <w:vertAlign w:val="subscript"/>
        </w:rPr>
        <w:t xml:space="preserve"> </w:t>
      </w:r>
      <w:r w:rsidRPr="005377D3">
        <w:rPr>
          <w:rFonts w:cs="Arial"/>
          <w:color w:val="000000" w:themeColor="text1"/>
        </w:rPr>
        <w:t>÷ P</w:t>
      </w:r>
      <w:r w:rsidR="000B4B92" w:rsidRPr="005377D3">
        <w:rPr>
          <w:rFonts w:cs="Arial"/>
          <w:color w:val="000000" w:themeColor="text1"/>
          <w:vertAlign w:val="subscript"/>
        </w:rPr>
        <w:t>MAX</w:t>
      </w:r>
    </w:p>
    <w:p w14:paraId="606B4E5D" w14:textId="47F51835" w:rsidR="00EA33B0" w:rsidRPr="005377D3" w:rsidRDefault="002C3D00">
      <w:pPr>
        <w:pStyle w:val="Nagwek1"/>
        <w:numPr>
          <w:ilvl w:val="2"/>
          <w:numId w:val="11"/>
        </w:numPr>
        <w:rPr>
          <w:color w:val="000000" w:themeColor="text1"/>
        </w:rPr>
      </w:pPr>
      <w:bookmarkStart w:id="10" w:name="_Toc531350212"/>
      <w:r w:rsidRPr="005377D3">
        <w:rPr>
          <w:color w:val="000000" w:themeColor="text1"/>
        </w:rPr>
        <w:t xml:space="preserve">Ogólne </w:t>
      </w:r>
      <w:r w:rsidR="00EA33B0" w:rsidRPr="005377D3">
        <w:rPr>
          <w:color w:val="000000" w:themeColor="text1"/>
        </w:rPr>
        <w:t>warunki przeprowadzenia testu</w:t>
      </w:r>
      <w:bookmarkEnd w:id="10"/>
      <w:r w:rsidR="00EA33B0" w:rsidRPr="005377D3">
        <w:rPr>
          <w:color w:val="000000" w:themeColor="text1"/>
        </w:rPr>
        <w:tab/>
      </w:r>
    </w:p>
    <w:p w14:paraId="12B39D80" w14:textId="27704523" w:rsidR="00B64282" w:rsidRPr="005377D3" w:rsidRDefault="00B64282" w:rsidP="00CF4A9E">
      <w:pPr>
        <w:pStyle w:val="Akapitzlist"/>
        <w:spacing w:before="0" w:after="200"/>
        <w:ind w:left="360"/>
        <w:rPr>
          <w:color w:val="000000" w:themeColor="text1"/>
        </w:rPr>
      </w:pPr>
      <w:r w:rsidRPr="005377D3">
        <w:rPr>
          <w:color w:val="000000" w:themeColor="text1"/>
          <w:szCs w:val="22"/>
        </w:rPr>
        <w:t xml:space="preserve"> </w:t>
      </w:r>
      <w:r w:rsidR="00990E77" w:rsidRPr="005377D3">
        <w:rPr>
          <w:color w:val="000000" w:themeColor="text1"/>
        </w:rPr>
        <w:t xml:space="preserve">Warunki przeprowadzania testu powinny być zgodne z ogólnymi wymaganiami określonymi w ramach </w:t>
      </w:r>
      <w:r w:rsidR="007024BF" w:rsidRPr="005377D3">
        <w:rPr>
          <w:i/>
          <w:color w:val="000000" w:themeColor="text1"/>
        </w:rPr>
        <w:t>Procedury testowania, symulacji i certyfikacji PPM D</w:t>
      </w:r>
      <w:r w:rsidR="007024BF" w:rsidRPr="005377D3">
        <w:rPr>
          <w:color w:val="000000" w:themeColor="text1"/>
        </w:rPr>
        <w:t xml:space="preserve">C </w:t>
      </w:r>
      <w:r w:rsidR="00990E77" w:rsidRPr="005377D3">
        <w:rPr>
          <w:color w:val="000000" w:themeColor="text1"/>
        </w:rPr>
        <w:t xml:space="preserve">oraz uwzględniać technologię wytwarzania </w:t>
      </w:r>
      <w:r w:rsidR="00AB1147" w:rsidRPr="005377D3">
        <w:rPr>
          <w:color w:val="000000" w:themeColor="text1"/>
        </w:rPr>
        <w:t xml:space="preserve">energii </w:t>
      </w:r>
      <w:r w:rsidR="00A7211A" w:rsidRPr="005377D3">
        <w:rPr>
          <w:color w:val="000000" w:themeColor="text1"/>
        </w:rPr>
        <w:t>PPM</w:t>
      </w:r>
      <w:r w:rsidR="00AB1147" w:rsidRPr="005377D3">
        <w:rPr>
          <w:color w:val="000000" w:themeColor="text1"/>
        </w:rPr>
        <w:t xml:space="preserve"> DC</w:t>
      </w:r>
      <w:r w:rsidR="00990E77" w:rsidRPr="005377D3">
        <w:rPr>
          <w:color w:val="000000" w:themeColor="text1"/>
        </w:rPr>
        <w:t>. Docelowe rozstrzygnięcia w tym zakresie powinny być zawarte w Programie Szczegółowym.</w:t>
      </w:r>
    </w:p>
    <w:p w14:paraId="01BD7B9F" w14:textId="78DB21E5" w:rsidR="007C4FB4" w:rsidRPr="005377D3" w:rsidRDefault="007C4FB4">
      <w:pPr>
        <w:pStyle w:val="Nagwek1"/>
        <w:rPr>
          <w:color w:val="000000" w:themeColor="text1"/>
        </w:rPr>
      </w:pPr>
      <w:bookmarkStart w:id="11" w:name="_Toc531350213"/>
      <w:r w:rsidRPr="005377D3">
        <w:rPr>
          <w:color w:val="000000" w:themeColor="text1"/>
        </w:rPr>
        <w:t>Sposób przeprowadzenia testu</w:t>
      </w:r>
      <w:bookmarkEnd w:id="11"/>
    </w:p>
    <w:p w14:paraId="6B492D59" w14:textId="2C42B56C" w:rsidR="00DF7F5C" w:rsidRPr="005377D3" w:rsidRDefault="00DF7F5C" w:rsidP="00CF4A9E">
      <w:pPr>
        <w:pStyle w:val="Akapitzlist"/>
        <w:spacing w:after="200"/>
        <w:ind w:left="360"/>
        <w:rPr>
          <w:color w:val="000000" w:themeColor="text1"/>
        </w:rPr>
      </w:pPr>
      <w:r w:rsidRPr="005377D3">
        <w:rPr>
          <w:color w:val="000000" w:themeColor="text1"/>
        </w:rPr>
        <w:t xml:space="preserve">Wymaga się przeprowadzenia testu obiektowego całego </w:t>
      </w:r>
      <w:r w:rsidR="00A7211A" w:rsidRPr="005377D3">
        <w:rPr>
          <w:color w:val="000000" w:themeColor="text1"/>
        </w:rPr>
        <w:t>PPM</w:t>
      </w:r>
      <w:r w:rsidR="0009102F" w:rsidRPr="005377D3">
        <w:rPr>
          <w:color w:val="000000" w:themeColor="text1"/>
        </w:rPr>
        <w:t xml:space="preserve"> DC</w:t>
      </w:r>
      <w:r w:rsidRPr="005377D3">
        <w:rPr>
          <w:color w:val="000000" w:themeColor="text1"/>
        </w:rPr>
        <w:t>. W takim przypadku, odstępuje się od badań symulacyjnych z zastrzeżeniem poniżej.</w:t>
      </w:r>
    </w:p>
    <w:p w14:paraId="0A2F09BD" w14:textId="6EEBAD87" w:rsidR="007C4FB4" w:rsidRPr="005377D3" w:rsidRDefault="00D84F8A" w:rsidP="00D84F8A">
      <w:pPr>
        <w:pStyle w:val="Akapitzlist"/>
        <w:spacing w:before="0" w:after="200"/>
        <w:ind w:left="360"/>
        <w:rPr>
          <w:color w:val="000000" w:themeColor="text1"/>
        </w:rPr>
      </w:pPr>
      <w:r w:rsidRPr="005377D3">
        <w:rPr>
          <w:color w:val="000000" w:themeColor="text1"/>
        </w:rPr>
        <w:t xml:space="preserve">W przypadku, gdy w ramach przeprowadzenia pomiarów brak jest możliwości sprawdzenia zdolności </w:t>
      </w:r>
      <w:r w:rsidR="00A7211A" w:rsidRPr="005377D3">
        <w:rPr>
          <w:color w:val="000000" w:themeColor="text1"/>
        </w:rPr>
        <w:t>PP</w:t>
      </w:r>
      <w:r w:rsidRPr="005377D3">
        <w:rPr>
          <w:color w:val="000000" w:themeColor="text1"/>
        </w:rPr>
        <w:t xml:space="preserve">M </w:t>
      </w:r>
      <w:r w:rsidR="007024BF" w:rsidRPr="005377D3">
        <w:rPr>
          <w:color w:val="000000" w:themeColor="text1"/>
        </w:rPr>
        <w:t xml:space="preserve">DC </w:t>
      </w:r>
      <w:r w:rsidRPr="005377D3">
        <w:rPr>
          <w:color w:val="000000" w:themeColor="text1"/>
        </w:rPr>
        <w:t xml:space="preserve">w górnym poziomie generacji mocy czynnej, pomiary należy przeprowadzić dla niższych możliwych poziomów obciążeń, a następnie należy je uzupełnić badaniami symulacyjnymi na </w:t>
      </w:r>
      <w:proofErr w:type="spellStart"/>
      <w:r w:rsidRPr="005377D3">
        <w:rPr>
          <w:color w:val="000000" w:themeColor="text1"/>
        </w:rPr>
        <w:t>zwalidowanych</w:t>
      </w:r>
      <w:proofErr w:type="spellEnd"/>
      <w:r w:rsidRPr="005377D3">
        <w:rPr>
          <w:color w:val="000000" w:themeColor="text1"/>
        </w:rPr>
        <w:t xml:space="preserve"> modelach. </w:t>
      </w:r>
    </w:p>
    <w:p w14:paraId="579890DB" w14:textId="792344EB" w:rsidR="00DF7F5C" w:rsidRPr="005377D3" w:rsidRDefault="00DF7F5C" w:rsidP="00CF4A9E">
      <w:pPr>
        <w:pStyle w:val="Nagwek1"/>
        <w:numPr>
          <w:ilvl w:val="1"/>
          <w:numId w:val="11"/>
        </w:numPr>
        <w:rPr>
          <w:color w:val="000000" w:themeColor="text1"/>
        </w:rPr>
      </w:pPr>
      <w:bookmarkStart w:id="12" w:name="_Toc531350214"/>
      <w:r w:rsidRPr="005377D3">
        <w:rPr>
          <w:color w:val="000000" w:themeColor="text1"/>
        </w:rPr>
        <w:t>Wielkości mierzone</w:t>
      </w:r>
      <w:bookmarkEnd w:id="12"/>
    </w:p>
    <w:p w14:paraId="409060CE" w14:textId="1BEF9DAC" w:rsidR="00DF7F5C" w:rsidRPr="005377D3" w:rsidRDefault="00EA0AFB" w:rsidP="00DF7F5C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color w:val="000000" w:themeColor="text1"/>
          <w:lang w:val="pl-PL"/>
        </w:rPr>
      </w:pPr>
      <w:r w:rsidRPr="005377D3">
        <w:rPr>
          <w:rFonts w:cs="Arial"/>
          <w:color w:val="000000" w:themeColor="text1"/>
          <w:lang w:val="pl-PL"/>
        </w:rPr>
        <w:t xml:space="preserve">Szczegółowy zakres podstawowych wielkości mierzonych powinien zostać określony na poziomie program szczegółowego </w:t>
      </w:r>
      <w:r w:rsidR="00D84F8A" w:rsidRPr="005377D3">
        <w:rPr>
          <w:rFonts w:cs="Arial"/>
          <w:color w:val="000000" w:themeColor="text1"/>
          <w:lang w:val="pl-PL"/>
        </w:rPr>
        <w:t>i</w:t>
      </w:r>
      <w:r w:rsidRPr="005377D3">
        <w:rPr>
          <w:rFonts w:cs="Arial"/>
          <w:color w:val="000000" w:themeColor="text1"/>
          <w:lang w:val="pl-PL"/>
        </w:rPr>
        <w:t xml:space="preserve"> obejmować co najmniej</w:t>
      </w:r>
      <w:r w:rsidR="00D84F8A" w:rsidRPr="005377D3">
        <w:rPr>
          <w:rFonts w:cs="Arial"/>
          <w:color w:val="000000" w:themeColor="text1"/>
          <w:lang w:val="pl-PL"/>
        </w:rPr>
        <w:t xml:space="preserve"> w każdej fazie</w:t>
      </w:r>
      <w:r w:rsidRPr="005377D3">
        <w:rPr>
          <w:rFonts w:cs="Arial"/>
          <w:color w:val="000000" w:themeColor="text1"/>
          <w:lang w:val="pl-PL"/>
        </w:rPr>
        <w:t xml:space="preserve">: </w:t>
      </w:r>
    </w:p>
    <w:p w14:paraId="3AB67978" w14:textId="77777777" w:rsidR="00D84F8A" w:rsidRPr="005377D3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000000" w:themeColor="text1"/>
        </w:rPr>
      </w:pPr>
      <w:r w:rsidRPr="005377D3">
        <w:rPr>
          <w:rFonts w:cs="Arial"/>
          <w:i/>
          <w:color w:val="000000" w:themeColor="text1"/>
        </w:rPr>
        <w:lastRenderedPageBreak/>
        <w:t>moc czynna,</w:t>
      </w:r>
    </w:p>
    <w:p w14:paraId="055ECA23" w14:textId="77777777" w:rsidR="00D84F8A" w:rsidRPr="005377D3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000000" w:themeColor="text1"/>
        </w:rPr>
      </w:pPr>
      <w:r w:rsidRPr="005377D3">
        <w:rPr>
          <w:rFonts w:cs="Arial"/>
          <w:i/>
          <w:color w:val="000000" w:themeColor="text1"/>
        </w:rPr>
        <w:t>napięcie</w:t>
      </w:r>
    </w:p>
    <w:p w14:paraId="207D5684" w14:textId="77777777" w:rsidR="00D84F8A" w:rsidRPr="005377D3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000000" w:themeColor="text1"/>
        </w:rPr>
      </w:pPr>
      <w:r w:rsidRPr="005377D3">
        <w:rPr>
          <w:rFonts w:cs="Arial"/>
          <w:i/>
          <w:color w:val="000000" w:themeColor="text1"/>
        </w:rPr>
        <w:t>prąd</w:t>
      </w:r>
    </w:p>
    <w:p w14:paraId="036CC978" w14:textId="77777777" w:rsidR="00D84F8A" w:rsidRPr="005377D3" w:rsidRDefault="00D84F8A" w:rsidP="00CB72D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cs="Arial"/>
          <w:i/>
          <w:color w:val="000000" w:themeColor="text1"/>
        </w:rPr>
      </w:pPr>
      <w:r w:rsidRPr="005377D3">
        <w:rPr>
          <w:rFonts w:cs="Arial"/>
          <w:i/>
          <w:color w:val="000000" w:themeColor="text1"/>
        </w:rPr>
        <w:t>moc bierna</w:t>
      </w:r>
    </w:p>
    <w:p w14:paraId="76E0E0DF" w14:textId="436313A0" w:rsidR="00DF7F5C" w:rsidRPr="005377D3" w:rsidRDefault="00DF7F5C" w:rsidP="00C1677F">
      <w:pPr>
        <w:widowControl w:val="0"/>
        <w:autoSpaceDE w:val="0"/>
        <w:autoSpaceDN w:val="0"/>
        <w:adjustRightInd w:val="0"/>
        <w:spacing w:after="200" w:line="240" w:lineRule="auto"/>
        <w:ind w:right="74"/>
        <w:contextualSpacing/>
        <w:jc w:val="left"/>
        <w:rPr>
          <w:color w:val="000000" w:themeColor="text1"/>
        </w:rPr>
      </w:pPr>
    </w:p>
    <w:p w14:paraId="444A443A" w14:textId="1636BB9D" w:rsidR="00EA0AFB" w:rsidRPr="005377D3" w:rsidRDefault="00EA0AFB" w:rsidP="00D84F8A">
      <w:pPr>
        <w:spacing w:after="200"/>
        <w:rPr>
          <w:rFonts w:cs="Arial"/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 xml:space="preserve">Dodatkowo powinien zostać określony szczegółowy zakres dodatkowych wielkości mierzonych, uwzględniający technologię wytwarzania </w:t>
      </w:r>
      <w:r w:rsidR="0009102F" w:rsidRPr="005377D3">
        <w:rPr>
          <w:color w:val="000000" w:themeColor="text1"/>
          <w:lang w:val="pl-PL"/>
        </w:rPr>
        <w:t>energii PPM DC</w:t>
      </w:r>
      <w:r w:rsidRPr="005377D3">
        <w:rPr>
          <w:color w:val="000000" w:themeColor="text1"/>
          <w:lang w:val="pl-PL"/>
        </w:rPr>
        <w:t xml:space="preserve">. </w:t>
      </w:r>
    </w:p>
    <w:p w14:paraId="0C17DF70" w14:textId="2951FA96" w:rsidR="00DF7F5C" w:rsidRPr="005377D3" w:rsidRDefault="00DF7F5C" w:rsidP="00D84F8A">
      <w:pPr>
        <w:pStyle w:val="Akapitzlist"/>
        <w:spacing w:before="0" w:after="200"/>
        <w:rPr>
          <w:color w:val="000000" w:themeColor="text1"/>
        </w:rPr>
      </w:pPr>
      <w:r w:rsidRPr="005377D3">
        <w:rPr>
          <w:rFonts w:cs="Arial"/>
          <w:color w:val="000000" w:themeColor="text1"/>
        </w:rPr>
        <w:t xml:space="preserve">Sygnały powinny być archiwizowane z rozdzielczością czasową co najmniej 1s. </w:t>
      </w:r>
    </w:p>
    <w:p w14:paraId="0FCABC4D" w14:textId="2074F6CF" w:rsidR="002C3D00" w:rsidRPr="005377D3" w:rsidRDefault="002C3D00" w:rsidP="00CF4A9E">
      <w:pPr>
        <w:pStyle w:val="Nagwek1"/>
        <w:numPr>
          <w:ilvl w:val="1"/>
          <w:numId w:val="11"/>
        </w:numPr>
        <w:rPr>
          <w:color w:val="000000" w:themeColor="text1"/>
        </w:rPr>
      </w:pPr>
      <w:bookmarkStart w:id="13" w:name="_Toc531347086"/>
      <w:bookmarkStart w:id="14" w:name="_Toc531350215"/>
      <w:bookmarkEnd w:id="13"/>
      <w:r w:rsidRPr="005377D3">
        <w:rPr>
          <w:color w:val="000000" w:themeColor="text1"/>
        </w:rPr>
        <w:t>Wielkości wejściowe (wymuszające)</w:t>
      </w:r>
      <w:bookmarkEnd w:id="14"/>
      <w:r w:rsidRPr="005377D3">
        <w:rPr>
          <w:color w:val="000000" w:themeColor="text1"/>
        </w:rPr>
        <w:t xml:space="preserve"> </w:t>
      </w:r>
    </w:p>
    <w:p w14:paraId="7639724D" w14:textId="0E264B8E" w:rsidR="002C3D00" w:rsidRPr="005377D3" w:rsidRDefault="005D3D2E" w:rsidP="002C3D00">
      <w:pPr>
        <w:pStyle w:val="Akapitzlis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 xml:space="preserve">Zmiana </w:t>
      </w:r>
      <w:r w:rsidR="00EF48CF" w:rsidRPr="005377D3">
        <w:rPr>
          <w:rFonts w:cs="Arial"/>
          <w:color w:val="000000" w:themeColor="text1"/>
        </w:rPr>
        <w:t>nastaw ukła</w:t>
      </w:r>
      <w:r w:rsidR="00052526" w:rsidRPr="005377D3">
        <w:rPr>
          <w:rFonts w:cs="Arial"/>
          <w:color w:val="000000" w:themeColor="text1"/>
        </w:rPr>
        <w:t>d</w:t>
      </w:r>
      <w:r w:rsidR="00EF48CF" w:rsidRPr="005377D3">
        <w:rPr>
          <w:rFonts w:cs="Arial"/>
          <w:color w:val="000000" w:themeColor="text1"/>
        </w:rPr>
        <w:t>ów przekształtnikowych</w:t>
      </w:r>
      <w:r w:rsidR="00A7211A" w:rsidRPr="005377D3">
        <w:rPr>
          <w:rFonts w:cs="Arial"/>
          <w:color w:val="000000" w:themeColor="text1"/>
        </w:rPr>
        <w:t xml:space="preserve"> umożliwiających i skutkujących zmianami nastaw mocy czynnej</w:t>
      </w:r>
      <w:r w:rsidRPr="005377D3">
        <w:rPr>
          <w:rFonts w:cs="Arial"/>
          <w:color w:val="000000" w:themeColor="text1"/>
        </w:rPr>
        <w:t>.</w:t>
      </w:r>
    </w:p>
    <w:p w14:paraId="14E2F1B5" w14:textId="77777777" w:rsidR="002C3D00" w:rsidRPr="005377D3" w:rsidRDefault="002C3D00" w:rsidP="002C3D00">
      <w:pPr>
        <w:pStyle w:val="Akapitzlist"/>
        <w:rPr>
          <w:rFonts w:cs="Arial"/>
          <w:color w:val="000000" w:themeColor="text1"/>
        </w:rPr>
      </w:pPr>
    </w:p>
    <w:p w14:paraId="615F586F" w14:textId="1FBF400C" w:rsidR="002C3D00" w:rsidRPr="005377D3" w:rsidRDefault="002C3D00" w:rsidP="00CF4A9E">
      <w:pPr>
        <w:pStyle w:val="Nagwek1"/>
        <w:numPr>
          <w:ilvl w:val="1"/>
          <w:numId w:val="11"/>
        </w:numPr>
        <w:rPr>
          <w:color w:val="000000" w:themeColor="text1"/>
        </w:rPr>
      </w:pPr>
      <w:bookmarkStart w:id="15" w:name="_Toc531350216"/>
      <w:r w:rsidRPr="005377D3">
        <w:rPr>
          <w:color w:val="000000" w:themeColor="text1"/>
        </w:rPr>
        <w:t>Wielkości wyjściowe (odpowiedź układu)</w:t>
      </w:r>
      <w:bookmarkEnd w:id="15"/>
    </w:p>
    <w:p w14:paraId="779C886B" w14:textId="261C6627" w:rsidR="009306AA" w:rsidRPr="005377D3" w:rsidRDefault="005D3D2E" w:rsidP="00976A19">
      <w:pPr>
        <w:pStyle w:val="Akapitzlis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>M</w:t>
      </w:r>
      <w:r w:rsidR="00976A19" w:rsidRPr="005377D3">
        <w:rPr>
          <w:rFonts w:cs="Arial"/>
          <w:color w:val="000000" w:themeColor="text1"/>
        </w:rPr>
        <w:t>oc czynna P (MW),</w:t>
      </w:r>
      <w:r w:rsidRPr="005377D3">
        <w:rPr>
          <w:rFonts w:cs="Arial"/>
          <w:color w:val="000000" w:themeColor="text1"/>
        </w:rPr>
        <w:t xml:space="preserve"> Moc bierna Q (</w:t>
      </w:r>
      <w:proofErr w:type="spellStart"/>
      <w:r w:rsidRPr="005377D3">
        <w:rPr>
          <w:rFonts w:cs="Arial"/>
          <w:color w:val="000000" w:themeColor="text1"/>
        </w:rPr>
        <w:t>MVAr</w:t>
      </w:r>
      <w:proofErr w:type="spellEnd"/>
      <w:proofErr w:type="gramStart"/>
      <w:r w:rsidRPr="005377D3">
        <w:rPr>
          <w:rFonts w:cs="Arial"/>
          <w:color w:val="000000" w:themeColor="text1"/>
        </w:rPr>
        <w:t xml:space="preserve">), </w:t>
      </w:r>
      <w:r w:rsidR="00976A19" w:rsidRPr="005377D3">
        <w:rPr>
          <w:rFonts w:cs="Arial"/>
          <w:color w:val="000000" w:themeColor="text1"/>
        </w:rPr>
        <w:t xml:space="preserve"> Napięcie</w:t>
      </w:r>
      <w:proofErr w:type="gramEnd"/>
      <w:r w:rsidR="00976A19" w:rsidRPr="005377D3">
        <w:rPr>
          <w:rFonts w:cs="Arial"/>
          <w:color w:val="000000" w:themeColor="text1"/>
        </w:rPr>
        <w:t xml:space="preserve"> </w:t>
      </w:r>
      <w:r w:rsidR="009306AA" w:rsidRPr="005377D3">
        <w:rPr>
          <w:rFonts w:cs="Arial"/>
          <w:color w:val="000000" w:themeColor="text1"/>
        </w:rPr>
        <w:t xml:space="preserve">w punkcie przyłączenia </w:t>
      </w:r>
      <w:r w:rsidR="00976A19" w:rsidRPr="005377D3">
        <w:rPr>
          <w:rFonts w:cs="Arial"/>
          <w:color w:val="000000" w:themeColor="text1"/>
        </w:rPr>
        <w:t>(</w:t>
      </w:r>
      <w:proofErr w:type="spellStart"/>
      <w:r w:rsidR="00976A19" w:rsidRPr="005377D3">
        <w:rPr>
          <w:rFonts w:cs="Arial"/>
          <w:color w:val="000000" w:themeColor="text1"/>
        </w:rPr>
        <w:t>kV</w:t>
      </w:r>
      <w:proofErr w:type="spellEnd"/>
      <w:r w:rsidR="00976A19" w:rsidRPr="005377D3">
        <w:rPr>
          <w:rFonts w:cs="Arial"/>
          <w:color w:val="000000" w:themeColor="text1"/>
        </w:rPr>
        <w:t>).</w:t>
      </w:r>
      <w:r w:rsidR="009306AA" w:rsidRPr="005377D3">
        <w:rPr>
          <w:rFonts w:cs="Arial"/>
          <w:color w:val="000000" w:themeColor="text1"/>
        </w:rPr>
        <w:t xml:space="preserve"> </w:t>
      </w:r>
    </w:p>
    <w:p w14:paraId="756F8CD6" w14:textId="16B9F945" w:rsidR="00976A19" w:rsidRPr="005377D3" w:rsidRDefault="009306AA" w:rsidP="00976A19">
      <w:pPr>
        <w:pStyle w:val="Akapitzlis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>W przypadku, gdy rejestracja w punkcie przyłączenia jest technicznie nie możliwa, Właściwy OS decyduje na poziomie programu szczegółowego o innym rozwiązaniu w tym zakresie</w:t>
      </w:r>
    </w:p>
    <w:p w14:paraId="7DD89FA9" w14:textId="4CC84589" w:rsidR="002C3D00" w:rsidRPr="005377D3" w:rsidRDefault="002C3D00" w:rsidP="00CF4A9E">
      <w:pPr>
        <w:pStyle w:val="Nagwek1"/>
        <w:numPr>
          <w:ilvl w:val="1"/>
          <w:numId w:val="11"/>
        </w:numPr>
        <w:rPr>
          <w:color w:val="000000" w:themeColor="text1"/>
        </w:rPr>
      </w:pPr>
      <w:bookmarkStart w:id="16" w:name="_Toc531350217"/>
      <w:r w:rsidRPr="005377D3">
        <w:rPr>
          <w:color w:val="000000" w:themeColor="text1"/>
        </w:rPr>
        <w:t xml:space="preserve">Punkty pracy </w:t>
      </w:r>
      <w:r w:rsidR="00402BC8" w:rsidRPr="005377D3">
        <w:rPr>
          <w:color w:val="000000" w:themeColor="text1"/>
        </w:rPr>
        <w:t>PPM DC</w:t>
      </w:r>
      <w:r w:rsidRPr="005377D3">
        <w:rPr>
          <w:color w:val="000000" w:themeColor="text1"/>
        </w:rPr>
        <w:t xml:space="preserve"> (poziomy generowanej </w:t>
      </w:r>
      <w:r w:rsidR="007C1CD4" w:rsidRPr="005377D3">
        <w:rPr>
          <w:color w:val="000000" w:themeColor="text1"/>
        </w:rPr>
        <w:t>mocy</w:t>
      </w:r>
      <w:r w:rsidRPr="005377D3">
        <w:rPr>
          <w:color w:val="000000" w:themeColor="text1"/>
        </w:rPr>
        <w:t>).</w:t>
      </w:r>
      <w:bookmarkEnd w:id="16"/>
    </w:p>
    <w:p w14:paraId="27973B7B" w14:textId="7F19429F" w:rsidR="009238FB" w:rsidRPr="005377D3" w:rsidRDefault="009238FB" w:rsidP="00976A19">
      <w:pPr>
        <w:pStyle w:val="Akapitzlis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 xml:space="preserve">Zbadanie wybranej </w:t>
      </w:r>
      <w:r w:rsidRPr="005377D3">
        <w:rPr>
          <w:rFonts w:cs="Arial"/>
          <w:i/>
          <w:color w:val="000000" w:themeColor="text1"/>
        </w:rPr>
        <w:t>odpowiedzi mocy</w:t>
      </w:r>
      <w:r w:rsidR="00C1677F" w:rsidRPr="005377D3">
        <w:rPr>
          <w:rFonts w:cs="Arial"/>
          <w:i/>
          <w:color w:val="000000" w:themeColor="text1"/>
        </w:rPr>
        <w:t xml:space="preserve"> czynnej</w:t>
      </w:r>
      <w:r w:rsidRPr="005377D3">
        <w:rPr>
          <w:rFonts w:cs="Arial"/>
          <w:color w:val="000000" w:themeColor="text1"/>
        </w:rPr>
        <w:t xml:space="preserve"> </w:t>
      </w:r>
      <w:r w:rsidR="00C1677F" w:rsidRPr="005377D3">
        <w:rPr>
          <w:rFonts w:cs="Arial"/>
          <w:color w:val="000000" w:themeColor="text1"/>
        </w:rPr>
        <w:t>P</w:t>
      </w:r>
      <w:r w:rsidRPr="005377D3">
        <w:rPr>
          <w:rFonts w:cs="Arial"/>
          <w:i/>
          <w:color w:val="000000" w:themeColor="text1"/>
        </w:rPr>
        <w:t xml:space="preserve"> </w:t>
      </w:r>
      <w:r w:rsidRPr="005377D3">
        <w:rPr>
          <w:rFonts w:cs="Arial"/>
          <w:color w:val="000000" w:themeColor="text1"/>
        </w:rPr>
        <w:t>zostanie przeprowadzone w poniższych punktach pracy (poziomach mocy bazowej/obciążenia).</w:t>
      </w:r>
    </w:p>
    <w:p w14:paraId="460255F1" w14:textId="2867181B" w:rsidR="00780029" w:rsidRPr="005377D3" w:rsidRDefault="00780029" w:rsidP="00976A19">
      <w:pPr>
        <w:pStyle w:val="Akapitzlis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>W zakresie PPM</w:t>
      </w:r>
      <w:r w:rsidR="00402BC8" w:rsidRPr="005377D3">
        <w:rPr>
          <w:rFonts w:cs="Arial"/>
          <w:color w:val="000000" w:themeColor="text1"/>
        </w:rPr>
        <w:t xml:space="preserve"> DC</w:t>
      </w:r>
      <w:r w:rsidRPr="005377D3">
        <w:rPr>
          <w:rFonts w:cs="Arial"/>
          <w:color w:val="000000" w:themeColor="text1"/>
        </w:rPr>
        <w:t>:</w:t>
      </w:r>
    </w:p>
    <w:p w14:paraId="06E2316F" w14:textId="77777777" w:rsidR="002C3D00" w:rsidRPr="005377D3" w:rsidRDefault="002C3D00" w:rsidP="002C3D00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499070A6" w14:textId="781DE176" w:rsidR="002C3D00" w:rsidRPr="005377D3" w:rsidRDefault="002C3D00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>P</w:t>
      </w:r>
      <w:r w:rsidRPr="005377D3">
        <w:rPr>
          <w:rFonts w:cs="Arial"/>
          <w:color w:val="000000" w:themeColor="text1"/>
          <w:vertAlign w:val="subscript"/>
        </w:rPr>
        <w:t>B</w:t>
      </w:r>
      <w:r w:rsidR="00483741" w:rsidRPr="005377D3">
        <w:rPr>
          <w:rFonts w:cs="Arial"/>
          <w:color w:val="000000" w:themeColor="text1"/>
          <w:vertAlign w:val="subscript"/>
        </w:rPr>
        <w:t>1</w:t>
      </w:r>
      <w:r w:rsidRPr="005377D3">
        <w:rPr>
          <w:rFonts w:cs="Arial"/>
          <w:color w:val="000000" w:themeColor="text1"/>
        </w:rPr>
        <w:t xml:space="preserve"> </w:t>
      </w:r>
      <w:r w:rsidR="00424A5C" w:rsidRPr="005377D3">
        <w:rPr>
          <w:rFonts w:cs="Arial"/>
          <w:color w:val="000000" w:themeColor="text1"/>
        </w:rPr>
        <w:t>powyżej</w:t>
      </w:r>
      <w:r w:rsidR="00483741" w:rsidRPr="005377D3">
        <w:rPr>
          <w:rFonts w:cs="Arial"/>
          <w:color w:val="000000" w:themeColor="text1"/>
        </w:rPr>
        <w:t xml:space="preserve"> </w:t>
      </w:r>
      <w:r w:rsidR="00424A5C" w:rsidRPr="005377D3">
        <w:rPr>
          <w:rFonts w:cs="Arial"/>
          <w:color w:val="000000" w:themeColor="text1"/>
        </w:rPr>
        <w:t xml:space="preserve">poziomu </w:t>
      </w:r>
      <w:r w:rsidR="00C05D88" w:rsidRPr="005377D3">
        <w:rPr>
          <w:rFonts w:cs="Arial"/>
          <w:color w:val="000000" w:themeColor="text1"/>
        </w:rPr>
        <w:t>7</w:t>
      </w:r>
      <w:r w:rsidR="00424A5C" w:rsidRPr="005377D3">
        <w:rPr>
          <w:rFonts w:cs="Arial"/>
          <w:color w:val="000000" w:themeColor="text1"/>
        </w:rPr>
        <w:t>0</w:t>
      </w:r>
      <w:r w:rsidRPr="005377D3">
        <w:rPr>
          <w:rFonts w:cs="Arial"/>
          <w:color w:val="000000" w:themeColor="text1"/>
        </w:rPr>
        <w:t xml:space="preserve">% </w:t>
      </w:r>
      <w:r w:rsidR="00C40519" w:rsidRPr="005377D3">
        <w:rPr>
          <w:rFonts w:cs="Arial"/>
          <w:color w:val="000000" w:themeColor="text1"/>
        </w:rPr>
        <w:t>P</w:t>
      </w:r>
      <w:r w:rsidR="000B4B92" w:rsidRPr="005377D3">
        <w:rPr>
          <w:rFonts w:cs="Arial"/>
          <w:color w:val="000000" w:themeColor="text1"/>
          <w:vertAlign w:val="subscript"/>
        </w:rPr>
        <w:t>MAX</w:t>
      </w:r>
      <w:r w:rsidR="00424A5C" w:rsidRPr="005377D3">
        <w:rPr>
          <w:rFonts w:cs="Arial"/>
          <w:color w:val="000000" w:themeColor="text1"/>
        </w:rPr>
        <w:t>,</w:t>
      </w:r>
    </w:p>
    <w:p w14:paraId="453E6F9D" w14:textId="2D5F5691" w:rsidR="002C3D00" w:rsidRPr="005377D3" w:rsidRDefault="002C3D00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>P</w:t>
      </w:r>
      <w:r w:rsidRPr="005377D3">
        <w:rPr>
          <w:rFonts w:cs="Arial"/>
          <w:color w:val="000000" w:themeColor="text1"/>
          <w:vertAlign w:val="subscript"/>
        </w:rPr>
        <w:t>B</w:t>
      </w:r>
      <w:r w:rsidR="00483741" w:rsidRPr="005377D3">
        <w:rPr>
          <w:rFonts w:cs="Arial"/>
          <w:color w:val="000000" w:themeColor="text1"/>
          <w:vertAlign w:val="subscript"/>
        </w:rPr>
        <w:t>2</w:t>
      </w:r>
      <w:r w:rsidRPr="005377D3">
        <w:rPr>
          <w:rFonts w:cs="Arial"/>
          <w:color w:val="000000" w:themeColor="text1"/>
        </w:rPr>
        <w:t xml:space="preserve"> </w:t>
      </w:r>
      <w:r w:rsidR="00424A5C" w:rsidRPr="005377D3">
        <w:rPr>
          <w:rFonts w:cs="Arial"/>
          <w:color w:val="000000" w:themeColor="text1"/>
        </w:rPr>
        <w:t xml:space="preserve">z przedziału </w:t>
      </w:r>
      <w:r w:rsidR="00C05D88" w:rsidRPr="005377D3">
        <w:rPr>
          <w:rFonts w:cs="Arial"/>
          <w:color w:val="000000" w:themeColor="text1"/>
        </w:rPr>
        <w:t>4</w:t>
      </w:r>
      <w:r w:rsidR="00483741" w:rsidRPr="005377D3">
        <w:rPr>
          <w:rFonts w:cs="Arial"/>
          <w:color w:val="000000" w:themeColor="text1"/>
        </w:rPr>
        <w:t>0-50</w:t>
      </w:r>
      <w:r w:rsidRPr="005377D3">
        <w:rPr>
          <w:rFonts w:cs="Arial"/>
          <w:color w:val="000000" w:themeColor="text1"/>
        </w:rPr>
        <w:t xml:space="preserve">% </w:t>
      </w:r>
      <w:r w:rsidR="00C40519" w:rsidRPr="005377D3">
        <w:rPr>
          <w:rFonts w:cs="Arial"/>
          <w:color w:val="000000" w:themeColor="text1"/>
        </w:rPr>
        <w:t>P</w:t>
      </w:r>
      <w:r w:rsidR="000B4B92" w:rsidRPr="005377D3">
        <w:rPr>
          <w:rFonts w:cs="Arial"/>
          <w:color w:val="000000" w:themeColor="text1"/>
          <w:vertAlign w:val="subscript"/>
        </w:rPr>
        <w:t>MAX</w:t>
      </w:r>
      <w:r w:rsidR="00424A5C" w:rsidRPr="005377D3">
        <w:rPr>
          <w:rFonts w:cs="Arial"/>
          <w:color w:val="000000" w:themeColor="text1"/>
        </w:rPr>
        <w:t>,</w:t>
      </w:r>
    </w:p>
    <w:p w14:paraId="074CB5AD" w14:textId="3D88C554" w:rsidR="002C3D00" w:rsidRPr="005377D3" w:rsidRDefault="002C3D00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>P</w:t>
      </w:r>
      <w:r w:rsidRPr="005377D3">
        <w:rPr>
          <w:rFonts w:cs="Arial"/>
          <w:color w:val="000000" w:themeColor="text1"/>
          <w:vertAlign w:val="subscript"/>
        </w:rPr>
        <w:t>B</w:t>
      </w:r>
      <w:r w:rsidR="00424A5C" w:rsidRPr="005377D3">
        <w:rPr>
          <w:rFonts w:cs="Arial"/>
          <w:color w:val="000000" w:themeColor="text1"/>
          <w:vertAlign w:val="subscript"/>
        </w:rPr>
        <w:t>3</w:t>
      </w:r>
      <w:r w:rsidRPr="005377D3">
        <w:rPr>
          <w:rFonts w:cs="Arial"/>
          <w:color w:val="000000" w:themeColor="text1"/>
        </w:rPr>
        <w:t xml:space="preserve"> </w:t>
      </w:r>
      <w:r w:rsidR="00424A5C" w:rsidRPr="005377D3">
        <w:rPr>
          <w:rFonts w:cs="Arial"/>
          <w:color w:val="000000" w:themeColor="text1"/>
        </w:rPr>
        <w:t xml:space="preserve">z przedziału </w:t>
      </w:r>
      <w:r w:rsidR="00C05D88" w:rsidRPr="005377D3">
        <w:rPr>
          <w:rFonts w:cs="Arial"/>
          <w:color w:val="000000" w:themeColor="text1"/>
        </w:rPr>
        <w:t>30</w:t>
      </w:r>
      <w:r w:rsidR="00483741" w:rsidRPr="005377D3">
        <w:rPr>
          <w:rFonts w:cs="Arial"/>
          <w:color w:val="000000" w:themeColor="text1"/>
        </w:rPr>
        <w:t>-</w:t>
      </w:r>
      <w:r w:rsidR="00C05D88" w:rsidRPr="005377D3">
        <w:rPr>
          <w:rFonts w:cs="Arial"/>
          <w:color w:val="000000" w:themeColor="text1"/>
        </w:rPr>
        <w:t>4</w:t>
      </w:r>
      <w:r w:rsidR="00483741" w:rsidRPr="005377D3">
        <w:rPr>
          <w:rFonts w:cs="Arial"/>
          <w:color w:val="000000" w:themeColor="text1"/>
        </w:rPr>
        <w:t>0</w:t>
      </w:r>
      <w:r w:rsidR="004538E6" w:rsidRPr="005377D3">
        <w:rPr>
          <w:rFonts w:cs="Arial"/>
          <w:color w:val="000000" w:themeColor="text1"/>
        </w:rPr>
        <w:t xml:space="preserve">% </w:t>
      </w:r>
      <w:r w:rsidR="00C40519" w:rsidRPr="005377D3">
        <w:rPr>
          <w:rFonts w:cs="Arial"/>
          <w:color w:val="000000" w:themeColor="text1"/>
        </w:rPr>
        <w:t>P</w:t>
      </w:r>
      <w:r w:rsidR="000B4B92" w:rsidRPr="005377D3">
        <w:rPr>
          <w:rFonts w:cs="Arial"/>
          <w:color w:val="000000" w:themeColor="text1"/>
          <w:vertAlign w:val="subscript"/>
        </w:rPr>
        <w:t>MAX</w:t>
      </w:r>
      <w:r w:rsidR="00424A5C" w:rsidRPr="005377D3">
        <w:rPr>
          <w:rFonts w:cs="Arial"/>
          <w:color w:val="000000" w:themeColor="text1"/>
        </w:rPr>
        <w:t>,</w:t>
      </w:r>
    </w:p>
    <w:p w14:paraId="7EBD2EB1" w14:textId="4306FA63" w:rsidR="000B67D3" w:rsidRPr="005377D3" w:rsidRDefault="000B67D3" w:rsidP="00CB72DE">
      <w:pPr>
        <w:pStyle w:val="Akapitzlist"/>
        <w:numPr>
          <w:ilvl w:val="0"/>
          <w:numId w:val="5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377D3">
        <w:rPr>
          <w:rFonts w:cs="Arial"/>
          <w:color w:val="000000" w:themeColor="text1"/>
        </w:rPr>
        <w:t>P</w:t>
      </w:r>
      <w:r w:rsidRPr="005377D3">
        <w:rPr>
          <w:rFonts w:cs="Arial"/>
          <w:color w:val="000000" w:themeColor="text1"/>
          <w:vertAlign w:val="subscript"/>
        </w:rPr>
        <w:t>B4</w:t>
      </w:r>
      <w:r w:rsidRPr="005377D3">
        <w:rPr>
          <w:rFonts w:cs="Arial"/>
          <w:color w:val="000000" w:themeColor="text1"/>
        </w:rPr>
        <w:t xml:space="preserve"> z przedziału 20-30% </w:t>
      </w:r>
      <w:r w:rsidRPr="005377D3">
        <w:rPr>
          <w:color w:val="000000" w:themeColor="text1"/>
        </w:rPr>
        <w:t>P</w:t>
      </w:r>
      <w:r w:rsidR="000B4B92" w:rsidRPr="005377D3">
        <w:rPr>
          <w:color w:val="000000" w:themeColor="text1"/>
          <w:vertAlign w:val="subscript"/>
        </w:rPr>
        <w:t>MAX</w:t>
      </w:r>
    </w:p>
    <w:p w14:paraId="279EF4EE" w14:textId="69F9A8BF" w:rsidR="002C3D00" w:rsidRPr="005377D3" w:rsidRDefault="00C05D88" w:rsidP="00CF4A9E">
      <w:pPr>
        <w:pStyle w:val="Nagwek1"/>
        <w:numPr>
          <w:ilvl w:val="1"/>
          <w:numId w:val="11"/>
        </w:numPr>
        <w:rPr>
          <w:color w:val="000000" w:themeColor="text1"/>
        </w:rPr>
      </w:pPr>
      <w:bookmarkStart w:id="17" w:name="_Toc531350218"/>
      <w:r w:rsidRPr="005377D3">
        <w:rPr>
          <w:rFonts w:cs="Arial"/>
          <w:color w:val="000000" w:themeColor="text1"/>
        </w:rPr>
        <w:t>Próba</w:t>
      </w:r>
      <w:bookmarkEnd w:id="17"/>
    </w:p>
    <w:p w14:paraId="3BC140EB" w14:textId="27E6DCC1" w:rsidR="00C05D88" w:rsidRPr="005377D3" w:rsidRDefault="00C05D88" w:rsidP="00C1677F">
      <w:pPr>
        <w:spacing w:after="0" w:line="360" w:lineRule="auto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>Szczegółowy sposób sprawdzenia powinien obejmować co najmniej sprawdzenie:</w:t>
      </w:r>
    </w:p>
    <w:p w14:paraId="7EE91962" w14:textId="0DE1C31C" w:rsidR="000B67D3" w:rsidRPr="005377D3" w:rsidRDefault="000B67D3" w:rsidP="00C1677F">
      <w:pPr>
        <w:spacing w:after="0" w:line="360" w:lineRule="auto"/>
        <w:rPr>
          <w:b/>
          <w:color w:val="000000" w:themeColor="text1"/>
          <w:lang w:val="pl-PL"/>
        </w:rPr>
      </w:pPr>
      <w:r w:rsidRPr="005377D3">
        <w:rPr>
          <w:b/>
          <w:color w:val="000000" w:themeColor="text1"/>
          <w:lang w:val="pl-PL"/>
        </w:rPr>
        <w:t>Dla P</w:t>
      </w:r>
      <w:r w:rsidRPr="005377D3">
        <w:rPr>
          <w:b/>
          <w:color w:val="000000" w:themeColor="text1"/>
          <w:vertAlign w:val="subscript"/>
          <w:lang w:val="pl-PL"/>
        </w:rPr>
        <w:t>B1</w:t>
      </w:r>
      <w:r w:rsidRPr="005377D3">
        <w:rPr>
          <w:b/>
          <w:color w:val="000000" w:themeColor="text1"/>
          <w:lang w:val="pl-PL"/>
        </w:rPr>
        <w:t>:</w:t>
      </w:r>
    </w:p>
    <w:p w14:paraId="2906CE8F" w14:textId="5CA5547D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 xml:space="preserve">Obniżenie nastawy o 20% </w:t>
      </w:r>
      <w:r w:rsidR="000B4B92" w:rsidRPr="005377D3">
        <w:rPr>
          <w:color w:val="000000" w:themeColor="text1"/>
          <w:lang w:val="pl-PL"/>
        </w:rPr>
        <w:t>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, </w:t>
      </w:r>
      <w:r w:rsidR="00A70A3A" w:rsidRPr="005377D3">
        <w:rPr>
          <w:color w:val="000000" w:themeColor="text1"/>
          <w:lang w:val="pl-PL"/>
        </w:rPr>
        <w:t xml:space="preserve">utrzymywanie </w:t>
      </w:r>
      <w:r w:rsidR="004E2BDC" w:rsidRPr="005377D3">
        <w:rPr>
          <w:color w:val="000000" w:themeColor="text1"/>
          <w:lang w:val="pl-PL"/>
        </w:rPr>
        <w:t>nowej nastawy przez</w:t>
      </w:r>
      <w:r w:rsidRPr="005377D3">
        <w:rPr>
          <w:color w:val="000000" w:themeColor="text1"/>
          <w:lang w:val="pl-PL"/>
        </w:rPr>
        <w:t xml:space="preserve"> co najmniej </w:t>
      </w:r>
      <w:r w:rsidR="007215B5" w:rsidRPr="005377D3">
        <w:rPr>
          <w:color w:val="000000" w:themeColor="text1"/>
          <w:lang w:val="pl-PL"/>
        </w:rPr>
        <w:t>25</w:t>
      </w:r>
      <w:r w:rsidRPr="005377D3">
        <w:rPr>
          <w:color w:val="000000" w:themeColor="text1"/>
          <w:lang w:val="pl-PL"/>
        </w:rPr>
        <w:t xml:space="preserve"> minut</w:t>
      </w:r>
      <w:r w:rsidR="004E2BDC" w:rsidRPr="005377D3">
        <w:rPr>
          <w:color w:val="000000" w:themeColor="text1"/>
          <w:lang w:val="pl-PL"/>
        </w:rPr>
        <w:t>,</w:t>
      </w:r>
    </w:p>
    <w:p w14:paraId="0DD22F49" w14:textId="2309C9AD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 xml:space="preserve">Ponowne obniżenie nastawy o 20% </w:t>
      </w:r>
      <w:r w:rsidR="000B4B92" w:rsidRPr="005377D3">
        <w:rPr>
          <w:color w:val="000000" w:themeColor="text1"/>
          <w:lang w:val="pl-PL"/>
        </w:rPr>
        <w:t>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 </w:t>
      </w:r>
      <w:r w:rsidR="004E2BDC" w:rsidRPr="005377D3">
        <w:rPr>
          <w:color w:val="000000" w:themeColor="text1"/>
          <w:lang w:val="pl-PL"/>
        </w:rPr>
        <w:t xml:space="preserve">utrzymywanie nowej nastawy przez co najmniej </w:t>
      </w:r>
      <w:r w:rsidR="007215B5" w:rsidRPr="005377D3">
        <w:rPr>
          <w:color w:val="000000" w:themeColor="text1"/>
          <w:lang w:val="pl-PL"/>
        </w:rPr>
        <w:t>25</w:t>
      </w:r>
      <w:r w:rsidR="004E2BDC" w:rsidRPr="005377D3">
        <w:rPr>
          <w:color w:val="000000" w:themeColor="text1"/>
          <w:lang w:val="pl-PL"/>
        </w:rPr>
        <w:t xml:space="preserve"> minut,</w:t>
      </w:r>
    </w:p>
    <w:p w14:paraId="2E6ED35C" w14:textId="749EECE5" w:rsidR="000B67D3" w:rsidRPr="005377D3" w:rsidRDefault="000B67D3" w:rsidP="00C1677F">
      <w:pPr>
        <w:spacing w:after="0" w:line="360" w:lineRule="auto"/>
        <w:rPr>
          <w:b/>
          <w:color w:val="000000" w:themeColor="text1"/>
          <w:lang w:val="pl-PL"/>
        </w:rPr>
      </w:pPr>
      <w:r w:rsidRPr="005377D3">
        <w:rPr>
          <w:b/>
          <w:color w:val="000000" w:themeColor="text1"/>
          <w:lang w:val="pl-PL"/>
        </w:rPr>
        <w:t>Dla P</w:t>
      </w:r>
      <w:r w:rsidRPr="005377D3">
        <w:rPr>
          <w:b/>
          <w:color w:val="000000" w:themeColor="text1"/>
          <w:vertAlign w:val="subscript"/>
          <w:lang w:val="pl-PL"/>
        </w:rPr>
        <w:t>B2</w:t>
      </w:r>
      <w:r w:rsidRPr="005377D3">
        <w:rPr>
          <w:b/>
          <w:color w:val="000000" w:themeColor="text1"/>
          <w:lang w:val="pl-PL"/>
        </w:rPr>
        <w:t>:</w:t>
      </w:r>
    </w:p>
    <w:p w14:paraId="6CAF4889" w14:textId="6A594BC4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 xml:space="preserve">Obniżenie nastawy o 15% </w:t>
      </w:r>
      <w:r w:rsidR="000B4B92" w:rsidRPr="005377D3">
        <w:rPr>
          <w:color w:val="000000" w:themeColor="text1"/>
          <w:lang w:val="pl-PL"/>
        </w:rPr>
        <w:t>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, </w:t>
      </w:r>
      <w:r w:rsidR="004E2BDC" w:rsidRPr="005377D3">
        <w:rPr>
          <w:color w:val="000000" w:themeColor="text1"/>
          <w:lang w:val="pl-PL"/>
        </w:rPr>
        <w:t xml:space="preserve">utrzymywanie nowej nastawy przez co najmniej </w:t>
      </w:r>
      <w:r w:rsidR="007215B5" w:rsidRPr="005377D3">
        <w:rPr>
          <w:color w:val="000000" w:themeColor="text1"/>
          <w:lang w:val="pl-PL"/>
        </w:rPr>
        <w:t>25</w:t>
      </w:r>
      <w:r w:rsidR="004E2BDC" w:rsidRPr="005377D3">
        <w:rPr>
          <w:color w:val="000000" w:themeColor="text1"/>
          <w:lang w:val="pl-PL"/>
        </w:rPr>
        <w:t xml:space="preserve"> minut,</w:t>
      </w:r>
    </w:p>
    <w:p w14:paraId="1B7EA0FD" w14:textId="3146E050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>Ponowne obniżenie nastawy o 15%</w:t>
      </w:r>
      <w:r w:rsidR="000B4B92" w:rsidRPr="005377D3">
        <w:rPr>
          <w:color w:val="000000" w:themeColor="text1"/>
          <w:lang w:val="pl-PL"/>
        </w:rPr>
        <w:t xml:space="preserve"> 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 </w:t>
      </w:r>
      <w:r w:rsidR="004E2BDC" w:rsidRPr="005377D3">
        <w:rPr>
          <w:color w:val="000000" w:themeColor="text1"/>
          <w:lang w:val="pl-PL"/>
        </w:rPr>
        <w:t xml:space="preserve">utrzymywanie nowej nastawy przez co najmniej </w:t>
      </w:r>
      <w:r w:rsidR="007215B5" w:rsidRPr="005377D3">
        <w:rPr>
          <w:color w:val="000000" w:themeColor="text1"/>
          <w:lang w:val="pl-PL"/>
        </w:rPr>
        <w:t>25</w:t>
      </w:r>
      <w:r w:rsidR="004E2BDC" w:rsidRPr="005377D3">
        <w:rPr>
          <w:color w:val="000000" w:themeColor="text1"/>
          <w:lang w:val="pl-PL"/>
        </w:rPr>
        <w:t xml:space="preserve"> minut,</w:t>
      </w:r>
    </w:p>
    <w:p w14:paraId="6A03F4CC" w14:textId="4B343AAB" w:rsidR="000B67D3" w:rsidRPr="005377D3" w:rsidRDefault="000B67D3" w:rsidP="00C1677F">
      <w:pPr>
        <w:spacing w:after="0" w:line="360" w:lineRule="auto"/>
        <w:rPr>
          <w:b/>
          <w:color w:val="000000" w:themeColor="text1"/>
          <w:lang w:val="pl-PL"/>
        </w:rPr>
      </w:pPr>
      <w:r w:rsidRPr="005377D3">
        <w:rPr>
          <w:b/>
          <w:color w:val="000000" w:themeColor="text1"/>
          <w:lang w:val="pl-PL"/>
        </w:rPr>
        <w:t>Dla P</w:t>
      </w:r>
      <w:r w:rsidRPr="005377D3">
        <w:rPr>
          <w:b/>
          <w:color w:val="000000" w:themeColor="text1"/>
          <w:vertAlign w:val="subscript"/>
          <w:lang w:val="pl-PL"/>
        </w:rPr>
        <w:t>B3</w:t>
      </w:r>
      <w:r w:rsidRPr="005377D3">
        <w:rPr>
          <w:b/>
          <w:color w:val="000000" w:themeColor="text1"/>
          <w:lang w:val="pl-PL"/>
        </w:rPr>
        <w:t>:</w:t>
      </w:r>
    </w:p>
    <w:p w14:paraId="34D33676" w14:textId="7EBC8D05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>Obniżenie nastawy o 10% 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, </w:t>
      </w:r>
      <w:r w:rsidR="004E2BDC" w:rsidRPr="005377D3">
        <w:rPr>
          <w:color w:val="000000" w:themeColor="text1"/>
          <w:lang w:val="pl-PL"/>
        </w:rPr>
        <w:t xml:space="preserve">utrzymywanie nowej nastawy przez co najmniej </w:t>
      </w:r>
      <w:r w:rsidR="007215B5" w:rsidRPr="005377D3">
        <w:rPr>
          <w:color w:val="000000" w:themeColor="text1"/>
          <w:lang w:val="pl-PL"/>
        </w:rPr>
        <w:t>25</w:t>
      </w:r>
      <w:r w:rsidR="004E2BDC" w:rsidRPr="005377D3">
        <w:rPr>
          <w:color w:val="000000" w:themeColor="text1"/>
          <w:lang w:val="pl-PL"/>
        </w:rPr>
        <w:t xml:space="preserve"> minut,</w:t>
      </w:r>
    </w:p>
    <w:p w14:paraId="25DD2C7A" w14:textId="2BE37C56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>Ponowne obniżenie nastawy o 10%</w:t>
      </w:r>
      <w:r w:rsidR="000B4B92" w:rsidRPr="005377D3">
        <w:rPr>
          <w:color w:val="000000" w:themeColor="text1"/>
          <w:lang w:val="pl-PL"/>
        </w:rPr>
        <w:t xml:space="preserve"> 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 </w:t>
      </w:r>
      <w:r w:rsidR="004E2BDC" w:rsidRPr="005377D3">
        <w:rPr>
          <w:color w:val="000000" w:themeColor="text1"/>
          <w:lang w:val="pl-PL"/>
        </w:rPr>
        <w:t xml:space="preserve">utrzymywanie nowej nastawy przez co najmniej </w:t>
      </w:r>
      <w:r w:rsidR="007215B5" w:rsidRPr="005377D3">
        <w:rPr>
          <w:color w:val="000000" w:themeColor="text1"/>
          <w:lang w:val="pl-PL"/>
        </w:rPr>
        <w:t>25</w:t>
      </w:r>
      <w:r w:rsidR="004E2BDC" w:rsidRPr="005377D3">
        <w:rPr>
          <w:color w:val="000000" w:themeColor="text1"/>
          <w:lang w:val="pl-PL"/>
        </w:rPr>
        <w:t xml:space="preserve"> minut,</w:t>
      </w:r>
    </w:p>
    <w:p w14:paraId="023CC944" w14:textId="4F20DF91" w:rsidR="000B67D3" w:rsidRPr="005377D3" w:rsidRDefault="000B67D3" w:rsidP="00C1677F">
      <w:pPr>
        <w:spacing w:after="0" w:line="360" w:lineRule="auto"/>
        <w:rPr>
          <w:b/>
          <w:color w:val="000000" w:themeColor="text1"/>
          <w:lang w:val="pl-PL"/>
        </w:rPr>
      </w:pPr>
      <w:r w:rsidRPr="005377D3">
        <w:rPr>
          <w:b/>
          <w:color w:val="000000" w:themeColor="text1"/>
          <w:lang w:val="pl-PL"/>
        </w:rPr>
        <w:t>Dla P</w:t>
      </w:r>
      <w:r w:rsidRPr="005377D3">
        <w:rPr>
          <w:b/>
          <w:color w:val="000000" w:themeColor="text1"/>
          <w:vertAlign w:val="subscript"/>
          <w:lang w:val="pl-PL"/>
        </w:rPr>
        <w:t>B4</w:t>
      </w:r>
      <w:r w:rsidRPr="005377D3">
        <w:rPr>
          <w:b/>
          <w:color w:val="000000" w:themeColor="text1"/>
          <w:lang w:val="pl-PL"/>
        </w:rPr>
        <w:t>:</w:t>
      </w:r>
    </w:p>
    <w:p w14:paraId="7101FA1C" w14:textId="227AEB75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lastRenderedPageBreak/>
        <w:t>Obniżenie nastawy o 5% 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, </w:t>
      </w:r>
      <w:r w:rsidR="004E2BDC" w:rsidRPr="005377D3">
        <w:rPr>
          <w:color w:val="000000" w:themeColor="text1"/>
          <w:lang w:val="pl-PL"/>
        </w:rPr>
        <w:t xml:space="preserve">utrzymywanie nowej nastawy przez co najmniej </w:t>
      </w:r>
      <w:r w:rsidR="007215B5" w:rsidRPr="005377D3">
        <w:rPr>
          <w:color w:val="000000" w:themeColor="text1"/>
          <w:lang w:val="pl-PL"/>
        </w:rPr>
        <w:t>25</w:t>
      </w:r>
      <w:r w:rsidR="004E2BDC" w:rsidRPr="005377D3">
        <w:rPr>
          <w:color w:val="000000" w:themeColor="text1"/>
          <w:lang w:val="pl-PL"/>
        </w:rPr>
        <w:t xml:space="preserve"> minut,</w:t>
      </w:r>
    </w:p>
    <w:p w14:paraId="73E4FE28" w14:textId="60A7BE0B" w:rsidR="000B67D3" w:rsidRPr="005377D3" w:rsidRDefault="000B67D3" w:rsidP="00C1677F">
      <w:pPr>
        <w:spacing w:after="0" w:line="360" w:lineRule="auto"/>
        <w:ind w:firstLine="708"/>
        <w:rPr>
          <w:color w:val="000000" w:themeColor="text1"/>
          <w:lang w:val="pl-PL"/>
        </w:rPr>
      </w:pPr>
      <w:r w:rsidRPr="005377D3">
        <w:rPr>
          <w:color w:val="000000" w:themeColor="text1"/>
          <w:lang w:val="pl-PL"/>
        </w:rPr>
        <w:t>Ponowne obniżenie nastawy o 5% P</w:t>
      </w:r>
      <w:r w:rsidR="000B4B92" w:rsidRPr="005377D3">
        <w:rPr>
          <w:color w:val="000000" w:themeColor="text1"/>
          <w:vertAlign w:val="subscript"/>
          <w:lang w:val="pl-PL"/>
        </w:rPr>
        <w:t>MAX</w:t>
      </w:r>
      <w:r w:rsidRPr="005377D3">
        <w:rPr>
          <w:color w:val="000000" w:themeColor="text1"/>
          <w:lang w:val="pl-PL"/>
        </w:rPr>
        <w:t xml:space="preserve">, </w:t>
      </w:r>
      <w:r w:rsidR="004E2BDC" w:rsidRPr="005377D3">
        <w:rPr>
          <w:color w:val="000000" w:themeColor="text1"/>
          <w:lang w:val="pl-PL"/>
        </w:rPr>
        <w:t xml:space="preserve">utrzymywanie nowej nastawy przez co najmniej </w:t>
      </w:r>
      <w:r w:rsidR="007215B5" w:rsidRPr="005377D3">
        <w:rPr>
          <w:color w:val="000000" w:themeColor="text1"/>
          <w:lang w:val="pl-PL"/>
        </w:rPr>
        <w:t>25</w:t>
      </w:r>
      <w:r w:rsidR="004E2BDC" w:rsidRPr="005377D3">
        <w:rPr>
          <w:color w:val="000000" w:themeColor="text1"/>
          <w:lang w:val="pl-PL"/>
        </w:rPr>
        <w:t xml:space="preserve"> minut,</w:t>
      </w:r>
    </w:p>
    <w:p w14:paraId="5E278D91" w14:textId="77777777" w:rsidR="000B67D3" w:rsidRPr="005377D3" w:rsidRDefault="000B67D3" w:rsidP="00C05D88">
      <w:pPr>
        <w:spacing w:after="200"/>
        <w:rPr>
          <w:color w:val="000000" w:themeColor="text1"/>
          <w:lang w:val="pl-PL"/>
        </w:rPr>
      </w:pPr>
    </w:p>
    <w:p w14:paraId="38B5B678" w14:textId="654699B1" w:rsidR="00976A19" w:rsidRPr="005377D3" w:rsidRDefault="00976A19">
      <w:pPr>
        <w:pStyle w:val="Nagwek1"/>
        <w:rPr>
          <w:color w:val="000000" w:themeColor="text1"/>
        </w:rPr>
      </w:pPr>
      <w:bookmarkStart w:id="18" w:name="_Toc523918448"/>
      <w:bookmarkStart w:id="19" w:name="_Toc524612924"/>
      <w:bookmarkStart w:id="20" w:name="_Toc524674377"/>
      <w:bookmarkStart w:id="21" w:name="_Toc531350219"/>
      <w:r w:rsidRPr="005377D3">
        <w:rPr>
          <w:color w:val="000000" w:themeColor="text1"/>
        </w:rPr>
        <w:t>Kryteria oceny testu zgodności</w:t>
      </w:r>
      <w:bookmarkEnd w:id="18"/>
      <w:bookmarkEnd w:id="19"/>
      <w:bookmarkEnd w:id="20"/>
      <w:bookmarkEnd w:id="21"/>
    </w:p>
    <w:p w14:paraId="7D7B6BD7" w14:textId="77777777" w:rsidR="00976A19" w:rsidRPr="005377D3" w:rsidRDefault="00976A19" w:rsidP="00976A19">
      <w:pPr>
        <w:pStyle w:val="Akapitzlist"/>
        <w:spacing w:before="0" w:after="200"/>
        <w:ind w:left="720"/>
        <w:rPr>
          <w:color w:val="000000" w:themeColor="text1"/>
        </w:rPr>
      </w:pPr>
      <w:r w:rsidRPr="005377D3">
        <w:rPr>
          <w:color w:val="000000" w:themeColor="text1"/>
          <w:szCs w:val="22"/>
        </w:rPr>
        <w:t xml:space="preserve">Przedmiotowy test zgodności uznaje się za pozytywny, zgodnie z </w:t>
      </w:r>
    </w:p>
    <w:p w14:paraId="02E50721" w14:textId="5091A364" w:rsidR="00976A19" w:rsidRPr="005377D3" w:rsidRDefault="00976A19" w:rsidP="00CB72DE">
      <w:pPr>
        <w:pStyle w:val="Akapitzlist"/>
        <w:numPr>
          <w:ilvl w:val="0"/>
          <w:numId w:val="10"/>
        </w:numPr>
        <w:spacing w:after="200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 xml:space="preserve">Kryteriami określonymi w ramach zapisów NC </w:t>
      </w:r>
      <w:proofErr w:type="spellStart"/>
      <w:r w:rsidRPr="005377D3">
        <w:rPr>
          <w:color w:val="000000" w:themeColor="text1"/>
          <w:szCs w:val="22"/>
        </w:rPr>
        <w:t>RfG</w:t>
      </w:r>
      <w:proofErr w:type="spellEnd"/>
      <w:r w:rsidRPr="005377D3">
        <w:rPr>
          <w:color w:val="000000" w:themeColor="text1"/>
          <w:szCs w:val="22"/>
        </w:rPr>
        <w:t xml:space="preserve"> w </w:t>
      </w:r>
      <w:r w:rsidR="00402BC8" w:rsidRPr="005377D3">
        <w:rPr>
          <w:color w:val="000000" w:themeColor="text1"/>
          <w:szCs w:val="22"/>
        </w:rPr>
        <w:t>art</w:t>
      </w:r>
      <w:r w:rsidRPr="005377D3">
        <w:rPr>
          <w:color w:val="000000" w:themeColor="text1"/>
          <w:szCs w:val="22"/>
        </w:rPr>
        <w:t xml:space="preserve">. </w:t>
      </w:r>
      <w:r w:rsidR="000B67D3" w:rsidRPr="005377D3">
        <w:rPr>
          <w:color w:val="000000" w:themeColor="text1"/>
          <w:szCs w:val="22"/>
        </w:rPr>
        <w:t>48</w:t>
      </w:r>
      <w:r w:rsidR="00402BC8" w:rsidRPr="005377D3">
        <w:rPr>
          <w:color w:val="000000" w:themeColor="text1"/>
          <w:szCs w:val="22"/>
        </w:rPr>
        <w:t xml:space="preserve"> ust. </w:t>
      </w:r>
      <w:r w:rsidR="000B67D3" w:rsidRPr="005377D3">
        <w:rPr>
          <w:color w:val="000000" w:themeColor="text1"/>
          <w:szCs w:val="22"/>
        </w:rPr>
        <w:t>2</w:t>
      </w:r>
      <w:r w:rsidRPr="005377D3">
        <w:rPr>
          <w:color w:val="000000" w:themeColor="text1"/>
          <w:szCs w:val="22"/>
        </w:rPr>
        <w:t xml:space="preserve">. </w:t>
      </w:r>
      <w:r w:rsidR="00402BC8" w:rsidRPr="005377D3">
        <w:rPr>
          <w:color w:val="000000" w:themeColor="text1"/>
          <w:szCs w:val="22"/>
        </w:rPr>
        <w:t xml:space="preserve">lit. </w:t>
      </w:r>
      <w:r w:rsidRPr="005377D3">
        <w:rPr>
          <w:color w:val="000000" w:themeColor="text1"/>
          <w:szCs w:val="22"/>
        </w:rPr>
        <w:t>b</w:t>
      </w:r>
      <w:proofErr w:type="gramStart"/>
      <w:r w:rsidRPr="005377D3">
        <w:rPr>
          <w:color w:val="000000" w:themeColor="text1"/>
          <w:szCs w:val="22"/>
        </w:rPr>
        <w:t>)</w:t>
      </w:r>
      <w:r w:rsidR="00402BC8" w:rsidRPr="005377D3">
        <w:rPr>
          <w:color w:val="000000" w:themeColor="text1"/>
          <w:szCs w:val="22"/>
        </w:rPr>
        <w:t xml:space="preserve"> </w:t>
      </w:r>
      <w:r w:rsidRPr="005377D3">
        <w:rPr>
          <w:color w:val="000000" w:themeColor="text1"/>
          <w:szCs w:val="22"/>
        </w:rPr>
        <w:t>:</w:t>
      </w:r>
      <w:proofErr w:type="gramEnd"/>
      <w:r w:rsidRPr="005377D3">
        <w:rPr>
          <w:color w:val="000000" w:themeColor="text1"/>
          <w:szCs w:val="22"/>
        </w:rPr>
        <w:t xml:space="preserve"> </w:t>
      </w:r>
    </w:p>
    <w:p w14:paraId="15608C19" w14:textId="77777777" w:rsidR="007215B5" w:rsidRPr="005377D3" w:rsidRDefault="007215B5" w:rsidP="00C1677F">
      <w:pPr>
        <w:pStyle w:val="Akapitzlist"/>
        <w:spacing w:after="200"/>
        <w:ind w:left="927" w:firstLine="489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 xml:space="preserve">test uznaje się za zaliczony, jeżeli spełnione są następujące warunki: </w:t>
      </w:r>
    </w:p>
    <w:p w14:paraId="668D65F8" w14:textId="598DDAEC" w:rsidR="007215B5" w:rsidRPr="005377D3" w:rsidRDefault="007215B5" w:rsidP="00C1677F">
      <w:pPr>
        <w:pStyle w:val="Akapitzlist"/>
        <w:numPr>
          <w:ilvl w:val="0"/>
          <w:numId w:val="13"/>
        </w:numPr>
        <w:spacing w:after="200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 xml:space="preserve">poziom obciążenia modułu parku energii utrzymany jest poniżej nastawy; </w:t>
      </w:r>
    </w:p>
    <w:p w14:paraId="4FD87127" w14:textId="2DBAB4EE" w:rsidR="007215B5" w:rsidRPr="005377D3" w:rsidRDefault="007215B5" w:rsidP="007215B5">
      <w:pPr>
        <w:pStyle w:val="Akapitzlist"/>
        <w:numPr>
          <w:ilvl w:val="0"/>
          <w:numId w:val="13"/>
        </w:numPr>
        <w:spacing w:after="200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>nastawa wykonywana jest zgodnie z wymogami ustanowionymi w art. 15 ust. 2 lit. a)</w:t>
      </w:r>
      <w:r w:rsidR="00402BC8" w:rsidRPr="005377D3">
        <w:rPr>
          <w:color w:val="000000" w:themeColor="text1"/>
          <w:szCs w:val="22"/>
        </w:rPr>
        <w:t xml:space="preserve"> NC </w:t>
      </w:r>
      <w:proofErr w:type="spellStart"/>
      <w:r w:rsidR="00402BC8" w:rsidRPr="005377D3">
        <w:rPr>
          <w:color w:val="000000" w:themeColor="text1"/>
          <w:szCs w:val="22"/>
        </w:rPr>
        <w:t>RfG</w:t>
      </w:r>
      <w:proofErr w:type="spellEnd"/>
      <w:r w:rsidRPr="005377D3">
        <w:rPr>
          <w:color w:val="000000" w:themeColor="text1"/>
          <w:szCs w:val="22"/>
        </w:rPr>
        <w:t>; oraz</w:t>
      </w:r>
    </w:p>
    <w:p w14:paraId="2A4595E3" w14:textId="6B48086B" w:rsidR="007215B5" w:rsidRPr="005377D3" w:rsidRDefault="007215B5" w:rsidP="00C1677F">
      <w:pPr>
        <w:pStyle w:val="Akapitzlist"/>
        <w:numPr>
          <w:ilvl w:val="0"/>
          <w:numId w:val="13"/>
        </w:numPr>
        <w:spacing w:after="200"/>
        <w:rPr>
          <w:color w:val="000000" w:themeColor="text1"/>
          <w:szCs w:val="22"/>
        </w:rPr>
      </w:pPr>
      <w:r w:rsidRPr="005377D3">
        <w:rPr>
          <w:color w:val="000000" w:themeColor="text1"/>
          <w:szCs w:val="22"/>
        </w:rPr>
        <w:t>dokładność regulacji jest zgodna z wartością określoną w art. 15 ust. 2 lit. a)</w:t>
      </w:r>
      <w:r w:rsidR="00402BC8" w:rsidRPr="005377D3">
        <w:rPr>
          <w:color w:val="000000" w:themeColor="text1"/>
          <w:szCs w:val="22"/>
        </w:rPr>
        <w:t xml:space="preserve"> NC </w:t>
      </w:r>
      <w:proofErr w:type="spellStart"/>
      <w:r w:rsidR="00402BC8" w:rsidRPr="005377D3">
        <w:rPr>
          <w:color w:val="000000" w:themeColor="text1"/>
          <w:szCs w:val="22"/>
        </w:rPr>
        <w:t>RfG</w:t>
      </w:r>
      <w:proofErr w:type="spellEnd"/>
      <w:r w:rsidRPr="005377D3">
        <w:rPr>
          <w:color w:val="000000" w:themeColor="text1"/>
          <w:szCs w:val="22"/>
        </w:rPr>
        <w:t>.</w:t>
      </w:r>
    </w:p>
    <w:p w14:paraId="798ACB94" w14:textId="67F27D82" w:rsidR="00390C5F" w:rsidRPr="005377D3" w:rsidRDefault="00976A19" w:rsidP="009F1201">
      <w:pPr>
        <w:pStyle w:val="Akapitzlist"/>
        <w:numPr>
          <w:ilvl w:val="0"/>
          <w:numId w:val="10"/>
        </w:numPr>
        <w:spacing w:after="200"/>
        <w:rPr>
          <w:color w:val="000000" w:themeColor="text1"/>
        </w:rPr>
      </w:pPr>
      <w:r w:rsidRPr="005377D3">
        <w:rPr>
          <w:color w:val="000000" w:themeColor="text1"/>
        </w:rPr>
        <w:t>Szczegółowymi kryteriami określonymi przez Właściwego OS w ramach programu szczegółowego</w:t>
      </w:r>
    </w:p>
    <w:p w14:paraId="5AB414C0" w14:textId="2236D795" w:rsidR="00C1677F" w:rsidRPr="005377D3" w:rsidRDefault="00C1677F" w:rsidP="00390C5F">
      <w:pPr>
        <w:pStyle w:val="Akapitzlist"/>
        <w:numPr>
          <w:ilvl w:val="0"/>
          <w:numId w:val="10"/>
        </w:numPr>
        <w:rPr>
          <w:rFonts w:cs="Arial"/>
          <w:color w:val="000000" w:themeColor="text1"/>
          <w:szCs w:val="22"/>
        </w:rPr>
      </w:pPr>
      <w:bookmarkStart w:id="22" w:name="_Toc522784687"/>
      <w:bookmarkStart w:id="23" w:name="_Toc522786054"/>
      <w:bookmarkStart w:id="24" w:name="_Toc523121817"/>
      <w:bookmarkStart w:id="25" w:name="_Toc523121842"/>
      <w:bookmarkStart w:id="26" w:name="_Toc523128809"/>
      <w:bookmarkStart w:id="27" w:name="_Toc523129140"/>
      <w:bookmarkStart w:id="28" w:name="_Toc523908282"/>
      <w:bookmarkStart w:id="29" w:name="_Toc523918427"/>
      <w:bookmarkStart w:id="30" w:name="_Toc523918449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5377D3">
        <w:rPr>
          <w:rFonts w:cs="Arial"/>
          <w:color w:val="000000" w:themeColor="text1"/>
          <w:szCs w:val="22"/>
        </w:rPr>
        <w:t>Okres, w ciągu którego musi zostać osiągnięta zmodyfikowana wartość nastawy mocy czynnej nie może być dłuższy niż 15 min</w:t>
      </w:r>
      <w:r w:rsidR="00390C5F" w:rsidRPr="005377D3">
        <w:rPr>
          <w:rFonts w:cs="Arial"/>
          <w:color w:val="000000" w:themeColor="text1"/>
          <w:szCs w:val="22"/>
        </w:rPr>
        <w:t>,</w:t>
      </w:r>
      <w:r w:rsidRPr="005377D3">
        <w:rPr>
          <w:rFonts w:cs="Arial"/>
          <w:color w:val="000000" w:themeColor="text1"/>
          <w:szCs w:val="22"/>
        </w:rPr>
        <w:t xml:space="preserve"> </w:t>
      </w:r>
    </w:p>
    <w:p w14:paraId="54748C01" w14:textId="7E362032" w:rsidR="00C1677F" w:rsidRPr="005377D3" w:rsidRDefault="00C1677F" w:rsidP="00390C5F">
      <w:pPr>
        <w:pStyle w:val="Akapitzlist"/>
        <w:numPr>
          <w:ilvl w:val="0"/>
          <w:numId w:val="10"/>
        </w:numPr>
        <w:rPr>
          <w:rFonts w:cs="Arial"/>
          <w:color w:val="000000" w:themeColor="text1"/>
          <w:szCs w:val="22"/>
        </w:rPr>
      </w:pPr>
      <w:r w:rsidRPr="005377D3">
        <w:rPr>
          <w:rFonts w:eastAsia="Calibri" w:cs="Arial"/>
          <w:color w:val="000000" w:themeColor="text1"/>
          <w:szCs w:val="22"/>
        </w:rPr>
        <w:t xml:space="preserve">Dokładność regulacji powinna być nie mniejsza niż 2% wartości mocy zadanej dla </w:t>
      </w:r>
      <w:r w:rsidR="00CC6761" w:rsidRPr="005377D3">
        <w:rPr>
          <w:rFonts w:eastAsia="Calibri" w:cs="Arial"/>
          <w:color w:val="000000" w:themeColor="text1"/>
          <w:szCs w:val="22"/>
        </w:rPr>
        <w:t>PPM DC</w:t>
      </w:r>
      <w:r w:rsidRPr="005377D3">
        <w:rPr>
          <w:rFonts w:eastAsia="Calibri" w:cs="Arial"/>
          <w:color w:val="000000" w:themeColor="text1"/>
          <w:szCs w:val="22"/>
        </w:rPr>
        <w:t xml:space="preserve">. </w:t>
      </w:r>
      <w:r w:rsidRPr="005377D3">
        <w:rPr>
          <w:rFonts w:cs="Arial"/>
          <w:color w:val="000000" w:themeColor="text1"/>
          <w:szCs w:val="22"/>
        </w:rPr>
        <w:t xml:space="preserve"> </w:t>
      </w:r>
    </w:p>
    <w:p w14:paraId="1E84C4D5" w14:textId="49818EFD" w:rsidR="00976A19" w:rsidRPr="005377D3" w:rsidRDefault="00976A19" w:rsidP="00C1677F">
      <w:pPr>
        <w:pStyle w:val="Akapitzlist"/>
        <w:ind w:left="360" w:firstLine="708"/>
        <w:rPr>
          <w:color w:val="000000" w:themeColor="text1"/>
        </w:rPr>
      </w:pPr>
    </w:p>
    <w:sectPr w:rsidR="00976A19" w:rsidRPr="005377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CDCF9" w14:textId="77777777" w:rsidR="00C20518" w:rsidRDefault="00C20518">
      <w:pPr>
        <w:spacing w:after="0" w:line="240" w:lineRule="auto"/>
      </w:pPr>
      <w:r>
        <w:separator/>
      </w:r>
    </w:p>
  </w:endnote>
  <w:endnote w:type="continuationSeparator" w:id="0">
    <w:p w14:paraId="67F82902" w14:textId="77777777" w:rsidR="00C20518" w:rsidRDefault="00C2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1" w:name="__UnoMark__8_1807911908" w:displacedByCustomXml="next"/>
  <w:bookmarkEnd w:id="31" w:displacedByCustomXml="next"/>
  <w:sdt>
    <w:sdtPr>
      <w:id w:val="-19244858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F70585" w14:textId="13A6A663" w:rsidR="005377D3" w:rsidRDefault="005377D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B41E05A" w14:textId="09C86515" w:rsidR="002C3D00" w:rsidRDefault="002C3D00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8814" w14:textId="77777777" w:rsidR="002C3D00" w:rsidRDefault="002C3D00">
    <w:pPr>
      <w:pStyle w:val="Stopka"/>
      <w:rPr>
        <w:rFonts w:cs="Arial"/>
        <w:color w:val="2E3192"/>
        <w:sz w:val="4"/>
        <w:szCs w:val="4"/>
        <w:lang w:val="pl-PL"/>
      </w:rPr>
    </w:pPr>
  </w:p>
  <w:p w14:paraId="7ECB2418" w14:textId="714B47E7" w:rsidR="002C3D00" w:rsidRDefault="002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77AAF" w14:textId="77777777" w:rsidR="00C20518" w:rsidRDefault="00C20518">
      <w:pPr>
        <w:spacing w:after="0" w:line="240" w:lineRule="auto"/>
      </w:pPr>
      <w:r>
        <w:separator/>
      </w:r>
    </w:p>
  </w:footnote>
  <w:footnote w:type="continuationSeparator" w:id="0">
    <w:p w14:paraId="2E9AA86E" w14:textId="77777777" w:rsidR="00C20518" w:rsidRDefault="00C2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2C3D00" w:rsidRDefault="002C3D00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79784720" w:rsidR="002C3D00" w:rsidRDefault="007E1FE1">
    <w:pPr>
      <w:pStyle w:val="Nagwek10"/>
      <w:jc w:val="center"/>
    </w:pPr>
    <w:r>
      <w:tab/>
    </w:r>
    <w:r>
      <w:tab/>
    </w:r>
    <w:r w:rsidR="002C3D00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164D9089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45AA296A" w:rsidR="002C3D00" w:rsidRDefault="002C3D00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2C3D00" w:rsidRDefault="002C3D00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45AA296A" w:rsidR="002C3D00" w:rsidRDefault="002C3D00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2C3D00" w:rsidRDefault="002C3D00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80D19"/>
    <w:multiLevelType w:val="hybridMultilevel"/>
    <w:tmpl w:val="4AAAE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5" w15:restartNumberingAfterBreak="0">
    <w:nsid w:val="32145370"/>
    <w:multiLevelType w:val="hybridMultilevel"/>
    <w:tmpl w:val="A7E0D1C8"/>
    <w:lvl w:ilvl="0" w:tplc="C4C687DC">
      <w:start w:val="1"/>
      <w:numFmt w:val="lowerRoman"/>
      <w:lvlText w:val="(%1)"/>
      <w:lvlJc w:val="left"/>
      <w:pPr>
        <w:ind w:left="2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6" w15:restartNumberingAfterBreak="0">
    <w:nsid w:val="33CD0401"/>
    <w:multiLevelType w:val="hybridMultilevel"/>
    <w:tmpl w:val="741CCA6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AFE2EC08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902843"/>
    <w:multiLevelType w:val="hybridMultilevel"/>
    <w:tmpl w:val="7616B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C3E8A"/>
    <w:multiLevelType w:val="hybridMultilevel"/>
    <w:tmpl w:val="D30A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837E6"/>
    <w:multiLevelType w:val="hybridMultilevel"/>
    <w:tmpl w:val="94AAE0A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CF438D"/>
    <w:multiLevelType w:val="hybridMultilevel"/>
    <w:tmpl w:val="93F2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4" w15:restartNumberingAfterBreak="0">
    <w:nsid w:val="7C801879"/>
    <w:multiLevelType w:val="hybridMultilevel"/>
    <w:tmpl w:val="10725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10834"/>
    <w:rsid w:val="00011E05"/>
    <w:rsid w:val="00017875"/>
    <w:rsid w:val="00017C53"/>
    <w:rsid w:val="000251C8"/>
    <w:rsid w:val="0004034E"/>
    <w:rsid w:val="000512C9"/>
    <w:rsid w:val="00052526"/>
    <w:rsid w:val="00066F4E"/>
    <w:rsid w:val="0009102F"/>
    <w:rsid w:val="00091EA1"/>
    <w:rsid w:val="000A149D"/>
    <w:rsid w:val="000A6346"/>
    <w:rsid w:val="000B1CDB"/>
    <w:rsid w:val="000B4B92"/>
    <w:rsid w:val="000B67D3"/>
    <w:rsid w:val="000C0F72"/>
    <w:rsid w:val="000D599F"/>
    <w:rsid w:val="000E3607"/>
    <w:rsid w:val="000F2E3D"/>
    <w:rsid w:val="000F47A5"/>
    <w:rsid w:val="000F4EFC"/>
    <w:rsid w:val="000F7147"/>
    <w:rsid w:val="000F7BA8"/>
    <w:rsid w:val="00105C0B"/>
    <w:rsid w:val="0010691A"/>
    <w:rsid w:val="00107AF9"/>
    <w:rsid w:val="00116CFD"/>
    <w:rsid w:val="001278DF"/>
    <w:rsid w:val="00130CE1"/>
    <w:rsid w:val="00133B73"/>
    <w:rsid w:val="001428F3"/>
    <w:rsid w:val="0014296C"/>
    <w:rsid w:val="00167AD2"/>
    <w:rsid w:val="00172053"/>
    <w:rsid w:val="00187129"/>
    <w:rsid w:val="001A6A2C"/>
    <w:rsid w:val="001D71B4"/>
    <w:rsid w:val="001E2606"/>
    <w:rsid w:val="00204035"/>
    <w:rsid w:val="00206878"/>
    <w:rsid w:val="00211CF9"/>
    <w:rsid w:val="00216D88"/>
    <w:rsid w:val="002218A9"/>
    <w:rsid w:val="00221908"/>
    <w:rsid w:val="00224D88"/>
    <w:rsid w:val="002337FA"/>
    <w:rsid w:val="0024108C"/>
    <w:rsid w:val="00254BEE"/>
    <w:rsid w:val="00291510"/>
    <w:rsid w:val="00293C1F"/>
    <w:rsid w:val="002A0C08"/>
    <w:rsid w:val="002A76B3"/>
    <w:rsid w:val="002B21E5"/>
    <w:rsid w:val="002B3FCE"/>
    <w:rsid w:val="002C2D51"/>
    <w:rsid w:val="002C3D00"/>
    <w:rsid w:val="002E24AC"/>
    <w:rsid w:val="002F2313"/>
    <w:rsid w:val="002F4622"/>
    <w:rsid w:val="003133D7"/>
    <w:rsid w:val="0032148B"/>
    <w:rsid w:val="00332192"/>
    <w:rsid w:val="00351012"/>
    <w:rsid w:val="003575AA"/>
    <w:rsid w:val="00370B35"/>
    <w:rsid w:val="00390C5F"/>
    <w:rsid w:val="00395C5C"/>
    <w:rsid w:val="003A0D64"/>
    <w:rsid w:val="003B4196"/>
    <w:rsid w:val="003B52E4"/>
    <w:rsid w:val="003B5457"/>
    <w:rsid w:val="003C5B64"/>
    <w:rsid w:val="003F10CD"/>
    <w:rsid w:val="00402BC8"/>
    <w:rsid w:val="00411915"/>
    <w:rsid w:val="00417701"/>
    <w:rsid w:val="00424A5C"/>
    <w:rsid w:val="00434AB4"/>
    <w:rsid w:val="0043655F"/>
    <w:rsid w:val="004522A7"/>
    <w:rsid w:val="004538E6"/>
    <w:rsid w:val="004631DD"/>
    <w:rsid w:val="004803FF"/>
    <w:rsid w:val="00483741"/>
    <w:rsid w:val="004C08D2"/>
    <w:rsid w:val="004C642F"/>
    <w:rsid w:val="004D64A1"/>
    <w:rsid w:val="004E066E"/>
    <w:rsid w:val="004E2BDC"/>
    <w:rsid w:val="004F356E"/>
    <w:rsid w:val="005051B3"/>
    <w:rsid w:val="00511FCB"/>
    <w:rsid w:val="0051209F"/>
    <w:rsid w:val="00524B19"/>
    <w:rsid w:val="00536C22"/>
    <w:rsid w:val="005377D3"/>
    <w:rsid w:val="00537936"/>
    <w:rsid w:val="005539E3"/>
    <w:rsid w:val="00554A90"/>
    <w:rsid w:val="0056121D"/>
    <w:rsid w:val="005613BC"/>
    <w:rsid w:val="00584A25"/>
    <w:rsid w:val="005A657F"/>
    <w:rsid w:val="005D120D"/>
    <w:rsid w:val="005D3D2E"/>
    <w:rsid w:val="005E08A8"/>
    <w:rsid w:val="005F090F"/>
    <w:rsid w:val="005F1CA8"/>
    <w:rsid w:val="0060172B"/>
    <w:rsid w:val="00624479"/>
    <w:rsid w:val="006244C9"/>
    <w:rsid w:val="00655635"/>
    <w:rsid w:val="00657F14"/>
    <w:rsid w:val="00664644"/>
    <w:rsid w:val="006651D6"/>
    <w:rsid w:val="00667205"/>
    <w:rsid w:val="006740EA"/>
    <w:rsid w:val="006B44DE"/>
    <w:rsid w:val="006D6B0D"/>
    <w:rsid w:val="006D7ACD"/>
    <w:rsid w:val="006E656F"/>
    <w:rsid w:val="006E6B86"/>
    <w:rsid w:val="006F4026"/>
    <w:rsid w:val="007024BF"/>
    <w:rsid w:val="0070519E"/>
    <w:rsid w:val="00706AB0"/>
    <w:rsid w:val="00711774"/>
    <w:rsid w:val="007215B5"/>
    <w:rsid w:val="00726123"/>
    <w:rsid w:val="00744996"/>
    <w:rsid w:val="00750725"/>
    <w:rsid w:val="00753946"/>
    <w:rsid w:val="007639A6"/>
    <w:rsid w:val="0077397E"/>
    <w:rsid w:val="00780029"/>
    <w:rsid w:val="007806BF"/>
    <w:rsid w:val="0078210B"/>
    <w:rsid w:val="007A122F"/>
    <w:rsid w:val="007B3826"/>
    <w:rsid w:val="007B79D0"/>
    <w:rsid w:val="007C1CA6"/>
    <w:rsid w:val="007C1CD4"/>
    <w:rsid w:val="007C2658"/>
    <w:rsid w:val="007C4FB4"/>
    <w:rsid w:val="007E1FE1"/>
    <w:rsid w:val="007F1465"/>
    <w:rsid w:val="007F3F61"/>
    <w:rsid w:val="008004DA"/>
    <w:rsid w:val="008113C2"/>
    <w:rsid w:val="00836FCA"/>
    <w:rsid w:val="00864F09"/>
    <w:rsid w:val="00874638"/>
    <w:rsid w:val="00874C39"/>
    <w:rsid w:val="008816B1"/>
    <w:rsid w:val="00886CBA"/>
    <w:rsid w:val="008B72CD"/>
    <w:rsid w:val="008C0D5E"/>
    <w:rsid w:val="008D63F5"/>
    <w:rsid w:val="008E33F9"/>
    <w:rsid w:val="008F29D7"/>
    <w:rsid w:val="00900642"/>
    <w:rsid w:val="00910482"/>
    <w:rsid w:val="009238FB"/>
    <w:rsid w:val="009306AA"/>
    <w:rsid w:val="00934568"/>
    <w:rsid w:val="00934BD9"/>
    <w:rsid w:val="009548C5"/>
    <w:rsid w:val="00964F1B"/>
    <w:rsid w:val="00967958"/>
    <w:rsid w:val="00976A19"/>
    <w:rsid w:val="00990E77"/>
    <w:rsid w:val="009A31F0"/>
    <w:rsid w:val="009C74B5"/>
    <w:rsid w:val="009D71D0"/>
    <w:rsid w:val="009E1A14"/>
    <w:rsid w:val="009E2E26"/>
    <w:rsid w:val="009F1CEA"/>
    <w:rsid w:val="00A06187"/>
    <w:rsid w:val="00A118E8"/>
    <w:rsid w:val="00A14D7A"/>
    <w:rsid w:val="00A21C25"/>
    <w:rsid w:val="00A31AC4"/>
    <w:rsid w:val="00A42C75"/>
    <w:rsid w:val="00A614EA"/>
    <w:rsid w:val="00A70A3A"/>
    <w:rsid w:val="00A7211A"/>
    <w:rsid w:val="00A819FC"/>
    <w:rsid w:val="00A85E67"/>
    <w:rsid w:val="00AA060E"/>
    <w:rsid w:val="00AA34ED"/>
    <w:rsid w:val="00AB1147"/>
    <w:rsid w:val="00AB585B"/>
    <w:rsid w:val="00AB791B"/>
    <w:rsid w:val="00AB7CC8"/>
    <w:rsid w:val="00AE148A"/>
    <w:rsid w:val="00AF318D"/>
    <w:rsid w:val="00AF7C66"/>
    <w:rsid w:val="00B0678C"/>
    <w:rsid w:val="00B27280"/>
    <w:rsid w:val="00B41120"/>
    <w:rsid w:val="00B61806"/>
    <w:rsid w:val="00B64282"/>
    <w:rsid w:val="00B72121"/>
    <w:rsid w:val="00B76698"/>
    <w:rsid w:val="00B83BCF"/>
    <w:rsid w:val="00B90391"/>
    <w:rsid w:val="00B93569"/>
    <w:rsid w:val="00BC18BB"/>
    <w:rsid w:val="00BD699E"/>
    <w:rsid w:val="00BE4FCE"/>
    <w:rsid w:val="00BF0951"/>
    <w:rsid w:val="00C03785"/>
    <w:rsid w:val="00C05D88"/>
    <w:rsid w:val="00C10AA4"/>
    <w:rsid w:val="00C1677F"/>
    <w:rsid w:val="00C20518"/>
    <w:rsid w:val="00C36B45"/>
    <w:rsid w:val="00C40519"/>
    <w:rsid w:val="00C426FB"/>
    <w:rsid w:val="00C45D1B"/>
    <w:rsid w:val="00C47B52"/>
    <w:rsid w:val="00C85061"/>
    <w:rsid w:val="00CB72DE"/>
    <w:rsid w:val="00CC6761"/>
    <w:rsid w:val="00CE38E9"/>
    <w:rsid w:val="00CE4EF6"/>
    <w:rsid w:val="00CF4A9E"/>
    <w:rsid w:val="00D01141"/>
    <w:rsid w:val="00D133E9"/>
    <w:rsid w:val="00D14371"/>
    <w:rsid w:val="00D416BD"/>
    <w:rsid w:val="00D43148"/>
    <w:rsid w:val="00D43E1E"/>
    <w:rsid w:val="00D50CA0"/>
    <w:rsid w:val="00D55CCB"/>
    <w:rsid w:val="00D84F8A"/>
    <w:rsid w:val="00D861C9"/>
    <w:rsid w:val="00DB0F62"/>
    <w:rsid w:val="00DB1112"/>
    <w:rsid w:val="00DB281B"/>
    <w:rsid w:val="00DC68C8"/>
    <w:rsid w:val="00DF7F5C"/>
    <w:rsid w:val="00E04286"/>
    <w:rsid w:val="00E05F45"/>
    <w:rsid w:val="00E25472"/>
    <w:rsid w:val="00E80DF4"/>
    <w:rsid w:val="00E839E2"/>
    <w:rsid w:val="00E8505B"/>
    <w:rsid w:val="00E87E42"/>
    <w:rsid w:val="00EA0AFB"/>
    <w:rsid w:val="00EA33B0"/>
    <w:rsid w:val="00EA4E76"/>
    <w:rsid w:val="00EA5024"/>
    <w:rsid w:val="00EB717C"/>
    <w:rsid w:val="00ED7A13"/>
    <w:rsid w:val="00EE71AE"/>
    <w:rsid w:val="00EF48CF"/>
    <w:rsid w:val="00EF540A"/>
    <w:rsid w:val="00F22F08"/>
    <w:rsid w:val="00F32595"/>
    <w:rsid w:val="00F462D7"/>
    <w:rsid w:val="00F54C43"/>
    <w:rsid w:val="00F73389"/>
    <w:rsid w:val="00F77770"/>
    <w:rsid w:val="00FB090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04035"/>
    <w:pPr>
      <w:keepNext/>
      <w:keepLines/>
      <w:numPr>
        <w:numId w:val="11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8207-F317-46CB-A808-BA9F91A5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5</cp:revision>
  <cp:lastPrinted>2018-12-13T20:39:00Z</cp:lastPrinted>
  <dcterms:created xsi:type="dcterms:W3CDTF">2019-08-09T09:32:00Z</dcterms:created>
  <dcterms:modified xsi:type="dcterms:W3CDTF">2020-08-05T19:48:00Z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