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C069CF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7B9CC11" w14:textId="77777777" w:rsidR="00EA33B0" w:rsidRPr="00C069CF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6DD677E6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7C29695" w14:textId="77777777" w:rsidR="00EA33B0" w:rsidRPr="00C069CF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7BED9" w14:textId="77777777" w:rsidR="00EA33B0" w:rsidRPr="00C069CF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23429FFB" w14:textId="655739E6" w:rsidR="002565B5" w:rsidRPr="00C069CF" w:rsidRDefault="002565B5" w:rsidP="002565B5">
      <w:pPr>
        <w:jc w:val="center"/>
        <w:rPr>
          <w:rFonts w:cs="Arial"/>
          <w:color w:val="000000" w:themeColor="text1"/>
          <w:lang w:val="pl-PL"/>
        </w:rPr>
      </w:pPr>
      <w:r w:rsidRPr="00C069CF">
        <w:rPr>
          <w:rFonts w:cs="Arial"/>
          <w:color w:val="000000" w:themeColor="text1"/>
          <w:sz w:val="32"/>
          <w:szCs w:val="32"/>
          <w:lang w:val="pl-PL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</w:t>
      </w:r>
      <w:r w:rsidRPr="00C069CF">
        <w:rPr>
          <w:rFonts w:cs="Arial"/>
          <w:color w:val="000000" w:themeColor="text1"/>
          <w:sz w:val="32"/>
          <w:szCs w:val="32"/>
          <w:lang w:val="pl-PL"/>
        </w:rPr>
        <w:br/>
        <w:t>prądu stałego</w:t>
      </w:r>
    </w:p>
    <w:p w14:paraId="2CB8E70B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4C844A8A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2C7D28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7CA2605" w14:textId="77777777" w:rsidR="00EA33B0" w:rsidRPr="00C069CF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51217A63" w14:textId="2D728EDD" w:rsidR="00EA33B0" w:rsidRPr="00C069CF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  <w:r w:rsidRPr="00C069CF">
        <w:rPr>
          <w:rFonts w:cs="Arial"/>
          <w:b/>
          <w:color w:val="000000" w:themeColor="text1"/>
          <w:sz w:val="24"/>
          <w:lang w:val="pl-PL"/>
        </w:rPr>
        <w:t>Program ramowy testu</w:t>
      </w:r>
      <w:r w:rsidR="00CD16B2" w:rsidRPr="00C069CF">
        <w:rPr>
          <w:rFonts w:cs="Arial"/>
          <w:b/>
          <w:color w:val="000000" w:themeColor="text1"/>
          <w:sz w:val="24"/>
          <w:lang w:val="pl-PL"/>
        </w:rPr>
        <w:t xml:space="preserve"> zgodności w zakresie zdolności</w:t>
      </w:r>
    </w:p>
    <w:p w14:paraId="0C610960" w14:textId="77777777" w:rsidR="00EA33B0" w:rsidRPr="00C069CF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01B16073" w14:textId="3D1F0E45" w:rsidR="00EA33B0" w:rsidRPr="00C069CF" w:rsidRDefault="00260F70" w:rsidP="00DE6DE4">
      <w:pPr>
        <w:pStyle w:val="Akapitzlist"/>
        <w:numPr>
          <w:ilvl w:val="0"/>
          <w:numId w:val="35"/>
        </w:numPr>
        <w:spacing w:after="200"/>
        <w:jc w:val="center"/>
        <w:rPr>
          <w:color w:val="000000" w:themeColor="text1"/>
          <w:szCs w:val="22"/>
        </w:rPr>
      </w:pPr>
      <w:r w:rsidRPr="00C069CF">
        <w:rPr>
          <w:rFonts w:cs="Arial"/>
          <w:b/>
          <w:color w:val="000000" w:themeColor="text1"/>
          <w:szCs w:val="22"/>
        </w:rPr>
        <w:t xml:space="preserve">tryb </w:t>
      </w:r>
      <w:r w:rsidR="00A97BB4" w:rsidRPr="00C069CF">
        <w:rPr>
          <w:rFonts w:cs="Arial"/>
          <w:b/>
          <w:color w:val="000000" w:themeColor="text1"/>
          <w:szCs w:val="22"/>
        </w:rPr>
        <w:t>LFSM-</w:t>
      </w:r>
      <w:r w:rsidR="00CA4329" w:rsidRPr="00C069CF">
        <w:rPr>
          <w:rFonts w:cs="Arial"/>
          <w:b/>
          <w:color w:val="000000" w:themeColor="text1"/>
          <w:szCs w:val="22"/>
        </w:rPr>
        <w:t>U</w:t>
      </w:r>
      <w:r w:rsidR="00EA33B0" w:rsidRPr="00C069CF">
        <w:rPr>
          <w:rFonts w:cs="Arial"/>
          <w:b/>
          <w:color w:val="000000" w:themeColor="text1"/>
          <w:szCs w:val="22"/>
        </w:rPr>
        <w:t xml:space="preserve"> </w:t>
      </w:r>
      <w:r w:rsidRPr="00C069CF">
        <w:rPr>
          <w:color w:val="000000" w:themeColor="text1"/>
          <w:szCs w:val="22"/>
        </w:rPr>
        <w:t xml:space="preserve">- </w:t>
      </w:r>
      <w:r w:rsidR="004A43D4" w:rsidRPr="00C069CF">
        <w:rPr>
          <w:color w:val="000000" w:themeColor="text1"/>
          <w:szCs w:val="22"/>
        </w:rPr>
        <w:t xml:space="preserve">tryb pracy systemu HVDC, w którym generowana moc czynna zwiększa się </w:t>
      </w:r>
      <w:r w:rsidR="00960460" w:rsidRPr="00C069CF">
        <w:rPr>
          <w:color w:val="000000" w:themeColor="text1"/>
          <w:szCs w:val="22"/>
        </w:rPr>
        <w:t xml:space="preserve">(dotyczy mocy importowej) lub zmniejsza się (dotyczy mocy eksportowej) </w:t>
      </w:r>
      <w:r w:rsidR="004A43D4" w:rsidRPr="00C069CF">
        <w:rPr>
          <w:color w:val="000000" w:themeColor="text1"/>
          <w:szCs w:val="22"/>
        </w:rPr>
        <w:t>w następstwie spadku częstotliwości systemu poniżej określonej wartości</w:t>
      </w:r>
      <w:r w:rsidR="004A43D4" w:rsidRPr="00C069CF" w:rsidDel="00260F70">
        <w:rPr>
          <w:rFonts w:cs="Arial"/>
          <w:b/>
          <w:color w:val="000000" w:themeColor="text1"/>
          <w:szCs w:val="22"/>
        </w:rPr>
        <w:t xml:space="preserve"> </w:t>
      </w:r>
    </w:p>
    <w:p w14:paraId="5175B924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2C4C6A8D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A08036" w14:textId="20DE8875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  <w:r w:rsidRPr="00C069CF"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6E3BA3" w:rsidRDefault="006E3BA3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6E3BA3" w:rsidRDefault="006E3BA3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0A8EDD8" w14:textId="77777777" w:rsidR="00EA33B0" w:rsidRPr="00C069CF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BB9556E" w14:textId="77777777" w:rsidR="00EA33B0" w:rsidRPr="00C069CF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00F2E43" w14:textId="77777777" w:rsidR="00EA33B0" w:rsidRPr="00C069CF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016E76E4" w14:textId="77777777" w:rsidR="00EA33B0" w:rsidRPr="00C069CF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05D3C54D" w14:textId="77777777" w:rsidR="00EA33B0" w:rsidRPr="00C069CF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844BE7E" w14:textId="77777777" w:rsidR="00EA33B0" w:rsidRPr="00C069CF" w:rsidRDefault="00EA33B0" w:rsidP="00EA33B0">
      <w:pPr>
        <w:spacing w:after="200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38FF7C2F" w14:textId="77777777" w:rsidR="00EA33B0" w:rsidRPr="00C069CF" w:rsidRDefault="00EA33B0" w:rsidP="00E322E3">
      <w:pPr>
        <w:pStyle w:val="Nagwek1"/>
        <w:numPr>
          <w:ilvl w:val="0"/>
          <w:numId w:val="0"/>
        </w:numPr>
        <w:ind w:left="360"/>
        <w:rPr>
          <w:color w:val="000000" w:themeColor="text1"/>
        </w:rPr>
      </w:pPr>
      <w:bookmarkStart w:id="0" w:name="_Toc12338935"/>
      <w:r w:rsidRPr="00C069CF">
        <w:rPr>
          <w:color w:val="000000" w:themeColor="text1"/>
        </w:rPr>
        <w:t>Spis treści</w:t>
      </w:r>
      <w:bookmarkEnd w:id="0"/>
    </w:p>
    <w:p w14:paraId="7F0DD6DF" w14:textId="0422D6AE" w:rsidR="00912E85" w:rsidRPr="00C069CF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C069CF">
        <w:rPr>
          <w:color w:val="000000" w:themeColor="text1"/>
        </w:rPr>
        <w:fldChar w:fldCharType="begin"/>
      </w:r>
      <w:r w:rsidRPr="00C069CF">
        <w:rPr>
          <w:color w:val="000000" w:themeColor="text1"/>
        </w:rPr>
        <w:instrText>TOC \o "1-3" \h</w:instrText>
      </w:r>
      <w:r w:rsidRPr="00C069CF">
        <w:rPr>
          <w:color w:val="000000" w:themeColor="text1"/>
        </w:rPr>
        <w:fldChar w:fldCharType="separate"/>
      </w:r>
      <w:hyperlink w:anchor="_Toc12338935" w:history="1">
        <w:r w:rsidR="00912E85" w:rsidRPr="00C069CF">
          <w:rPr>
            <w:rStyle w:val="Hipercze"/>
            <w:noProof/>
            <w:color w:val="000000" w:themeColor="text1"/>
          </w:rPr>
          <w:t>Spis treści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_Toc12338935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2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50F91B34" w14:textId="22DB5DF3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36" w:history="1">
        <w:r w:rsidR="00912E85" w:rsidRPr="00C069CF">
          <w:rPr>
            <w:rStyle w:val="Hipercze"/>
            <w:noProof/>
            <w:color w:val="000000" w:themeColor="text1"/>
          </w:rPr>
          <w:t>1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Cel i zakres opracowania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_Toc12338936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3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7F956CD5" w14:textId="2F66BBBF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37" w:history="1">
        <w:r w:rsidR="00912E85" w:rsidRPr="00C069CF">
          <w:rPr>
            <w:rStyle w:val="Hipercze"/>
            <w:noProof/>
            <w:color w:val="000000" w:themeColor="text1"/>
          </w:rPr>
          <w:t>2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Skróty stosowane w dokumencie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_Toc12338937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3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227D2A81" w14:textId="23368F6E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38" w:history="1">
        <w:r w:rsidR="00912E85" w:rsidRPr="00C069CF">
          <w:rPr>
            <w:rStyle w:val="Hipercze"/>
            <w:noProof/>
            <w:color w:val="000000" w:themeColor="text1"/>
          </w:rPr>
          <w:t>3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Parametry techniczne testowanego systemu HVDC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_Toc12338938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3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36D46BE8" w14:textId="546FEC44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39" w:history="1">
        <w:r w:rsidR="00912E85" w:rsidRPr="00C069CF">
          <w:rPr>
            <w:rStyle w:val="Hipercze"/>
            <w:noProof/>
            <w:color w:val="000000" w:themeColor="text1"/>
          </w:rPr>
          <w:t>4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Ogólne zasady przeprowadzenia testu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_Toc12338939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4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0E3C8358" w14:textId="7A4E9FAD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40" w:history="1">
        <w:r w:rsidR="00912E85" w:rsidRPr="00C069CF">
          <w:rPr>
            <w:rStyle w:val="Hipercze"/>
            <w:noProof/>
            <w:color w:val="000000" w:themeColor="text1"/>
          </w:rPr>
          <w:t>5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Wymagane warunki w czasie realizacji testu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_Toc12338940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4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42877533" w14:textId="070C6777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41" w:history="1">
        <w:r w:rsidR="00912E85" w:rsidRPr="00C069CF">
          <w:rPr>
            <w:rStyle w:val="Hipercze"/>
            <w:noProof/>
            <w:color w:val="000000" w:themeColor="text1"/>
          </w:rPr>
          <w:t>6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Wielkości mierzone w czasie realizacji testu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_Toc12338941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4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61A80223" w14:textId="687CAE79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42" w:history="1">
        <w:r w:rsidR="00912E85" w:rsidRPr="00C069CF">
          <w:rPr>
            <w:rStyle w:val="Hipercze"/>
            <w:noProof/>
            <w:color w:val="000000" w:themeColor="text1"/>
          </w:rPr>
          <w:t>7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Wielkości wejściowe (wymuszające)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_Toc12338942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5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0566E60A" w14:textId="6CAF95A2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8943" w:history="1">
        <w:r w:rsidR="00912E85" w:rsidRPr="00C069CF">
          <w:rPr>
            <w:rStyle w:val="Hipercze"/>
            <w:noProof/>
            <w:color w:val="000000" w:themeColor="text1"/>
          </w:rPr>
          <w:t>8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Wielkości wyjściowe (odpowiedź układu)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_Toc12338943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5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5793C1A2" w14:textId="666CEA0F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9004" w:history="1">
        <w:r w:rsidR="00912E85" w:rsidRPr="00C069CF">
          <w:rPr>
            <w:rStyle w:val="Hipercze"/>
            <w:noProof/>
            <w:color w:val="000000" w:themeColor="text1"/>
          </w:rPr>
          <w:t>9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Sposób i zakres przeprowadzenia testu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_Toc12339004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5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5A783FF0" w14:textId="7BE7DF37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9005" w:history="1">
        <w:r w:rsidR="00912E85" w:rsidRPr="00C069CF">
          <w:rPr>
            <w:rStyle w:val="Hipercze"/>
            <w:noProof/>
            <w:color w:val="000000" w:themeColor="text1"/>
          </w:rPr>
          <w:t>9.1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Określenie niewrażliwości układu regulacji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_Toc12339005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5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5239BD18" w14:textId="194031D1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9006" w:history="1">
        <w:r w:rsidR="00912E85" w:rsidRPr="00C069CF">
          <w:rPr>
            <w:rStyle w:val="Hipercze"/>
            <w:noProof/>
            <w:color w:val="000000" w:themeColor="text1"/>
          </w:rPr>
          <w:t>9.2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Określenie odpowiedzi częstotliwościowej mocy czynnej na znaczy wzrost częstotliwości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_Toc12339006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6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0C181292" w14:textId="1DF21C40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9007" w:history="1">
        <w:r w:rsidR="00912E85" w:rsidRPr="00C069CF">
          <w:rPr>
            <w:rStyle w:val="Hipercze"/>
            <w:noProof/>
            <w:color w:val="000000" w:themeColor="text1"/>
          </w:rPr>
          <w:t>9.3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Określenie zakresu możliwego nastawiania statyzmu i strefy nieczułości układu regulacji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_Toc12339007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6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128D1E25" w14:textId="3CBA6D54" w:rsidR="00912E85" w:rsidRPr="00C069CF" w:rsidRDefault="00AF5AD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339148" w:history="1">
        <w:r w:rsidR="00912E85" w:rsidRPr="00C069CF">
          <w:rPr>
            <w:rStyle w:val="Hipercze"/>
            <w:noProof/>
            <w:color w:val="000000" w:themeColor="text1"/>
          </w:rPr>
          <w:t>10</w:t>
        </w:r>
        <w:r w:rsidR="00912E85" w:rsidRPr="00C069CF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2E85" w:rsidRPr="00C069CF">
          <w:rPr>
            <w:rStyle w:val="Hipercze"/>
            <w:noProof/>
            <w:color w:val="000000" w:themeColor="text1"/>
          </w:rPr>
          <w:t>Kryteria oceny testu zgodności</w:t>
        </w:r>
        <w:r w:rsidR="00912E85" w:rsidRPr="00C069CF">
          <w:rPr>
            <w:noProof/>
            <w:color w:val="000000" w:themeColor="text1"/>
          </w:rPr>
          <w:tab/>
        </w:r>
        <w:r w:rsidR="00912E85" w:rsidRPr="00C069CF">
          <w:rPr>
            <w:noProof/>
            <w:color w:val="000000" w:themeColor="text1"/>
          </w:rPr>
          <w:fldChar w:fldCharType="begin"/>
        </w:r>
        <w:r w:rsidR="00912E85" w:rsidRPr="00C069CF">
          <w:rPr>
            <w:noProof/>
            <w:color w:val="000000" w:themeColor="text1"/>
          </w:rPr>
          <w:instrText xml:space="preserve"> PAGEREF _Toc12339148 \h </w:instrText>
        </w:r>
        <w:r w:rsidR="00912E85" w:rsidRPr="00C069CF">
          <w:rPr>
            <w:noProof/>
            <w:color w:val="000000" w:themeColor="text1"/>
          </w:rPr>
        </w:r>
        <w:r w:rsidR="00912E85" w:rsidRPr="00C069CF">
          <w:rPr>
            <w:noProof/>
            <w:color w:val="000000" w:themeColor="text1"/>
          </w:rPr>
          <w:fldChar w:fldCharType="separate"/>
        </w:r>
        <w:r w:rsidR="00912E85" w:rsidRPr="00C069CF">
          <w:rPr>
            <w:noProof/>
            <w:color w:val="000000" w:themeColor="text1"/>
          </w:rPr>
          <w:t>6</w:t>
        </w:r>
        <w:r w:rsidR="00912E85" w:rsidRPr="00C069CF">
          <w:rPr>
            <w:noProof/>
            <w:color w:val="000000" w:themeColor="text1"/>
          </w:rPr>
          <w:fldChar w:fldCharType="end"/>
        </w:r>
      </w:hyperlink>
    </w:p>
    <w:p w14:paraId="720DEF35" w14:textId="288485CD" w:rsidR="00EA33B0" w:rsidRPr="00C069CF" w:rsidRDefault="00EA33B0" w:rsidP="00EA33B0">
      <w:pPr>
        <w:pStyle w:val="Spistreci1"/>
        <w:rPr>
          <w:color w:val="000000" w:themeColor="text1"/>
        </w:rPr>
      </w:pPr>
      <w:r w:rsidRPr="00C069CF">
        <w:rPr>
          <w:color w:val="000000" w:themeColor="text1"/>
        </w:rPr>
        <w:fldChar w:fldCharType="end"/>
      </w:r>
    </w:p>
    <w:p w14:paraId="1B9EB326" w14:textId="77777777" w:rsidR="00EA33B0" w:rsidRPr="00C069CF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color w:val="000000" w:themeColor="text1"/>
          <w:szCs w:val="22"/>
          <w:lang w:val="pl-PL" w:eastAsia="pl-PL"/>
        </w:rPr>
      </w:pPr>
      <w:r w:rsidRPr="00C069CF">
        <w:rPr>
          <w:color w:val="000000" w:themeColor="text1"/>
        </w:rPr>
        <w:fldChar w:fldCharType="begin"/>
      </w:r>
      <w:r w:rsidRPr="00C069CF">
        <w:rPr>
          <w:color w:val="000000" w:themeColor="text1"/>
        </w:rPr>
        <w:instrText>TOC \c "Rysunek"</w:instrText>
      </w:r>
      <w:r w:rsidRPr="00C069CF">
        <w:rPr>
          <w:color w:val="000000" w:themeColor="text1"/>
        </w:rPr>
        <w:fldChar w:fldCharType="end"/>
      </w:r>
    </w:p>
    <w:p w14:paraId="324B8C0D" w14:textId="77777777" w:rsidR="00EA33B0" w:rsidRPr="00C069CF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  <w:r w:rsidRPr="00C069CF">
        <w:rPr>
          <w:color w:val="000000" w:themeColor="text1"/>
        </w:rPr>
        <w:br w:type="page"/>
      </w:r>
    </w:p>
    <w:p w14:paraId="1748A0FF" w14:textId="18C1B947" w:rsidR="00EA33B0" w:rsidRPr="00C069CF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" w:name="_Toc12338936"/>
      <w:r w:rsidRPr="00C069CF">
        <w:rPr>
          <w:color w:val="000000" w:themeColor="text1"/>
        </w:rPr>
        <w:lastRenderedPageBreak/>
        <w:t>Cel i zakres</w:t>
      </w:r>
      <w:r w:rsidR="00E322E3" w:rsidRPr="00C069CF">
        <w:rPr>
          <w:color w:val="000000" w:themeColor="text1"/>
        </w:rPr>
        <w:t xml:space="preserve"> opracowania</w:t>
      </w:r>
      <w:bookmarkEnd w:id="1"/>
    </w:p>
    <w:p w14:paraId="405AA5FC" w14:textId="77777777" w:rsidR="002565B5" w:rsidRPr="00C069CF" w:rsidRDefault="002565B5" w:rsidP="002565B5">
      <w:pPr>
        <w:spacing w:line="360" w:lineRule="auto"/>
        <w:rPr>
          <w:rFonts w:cs="Arial"/>
          <w:color w:val="000000" w:themeColor="text1"/>
          <w:lang w:val="pl-PL"/>
        </w:rPr>
      </w:pPr>
      <w:r w:rsidRPr="00C069CF">
        <w:rPr>
          <w:rFonts w:cs="Arial"/>
          <w:color w:val="000000" w:themeColor="text1"/>
          <w:lang w:val="pl-PL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C069CF">
        <w:rPr>
          <w:rFonts w:cs="Arial"/>
          <w:b/>
          <w:color w:val="000000" w:themeColor="text1"/>
          <w:lang w:val="pl-PL"/>
        </w:rPr>
        <w:t>NC HVDC</w:t>
      </w:r>
      <w:r w:rsidRPr="00C069CF">
        <w:rPr>
          <w:rFonts w:cs="Arial"/>
          <w:color w:val="000000" w:themeColor="text1"/>
          <w:lang w:val="pl-PL"/>
        </w:rPr>
        <w:t>) oraz dokumentów związanych wynikających z zapisów rozporządzenia.</w:t>
      </w:r>
    </w:p>
    <w:p w14:paraId="709E864A" w14:textId="4FED6B3A" w:rsidR="002565B5" w:rsidRPr="00C069CF" w:rsidRDefault="002565B5" w:rsidP="002565B5">
      <w:pPr>
        <w:spacing w:line="360" w:lineRule="auto"/>
        <w:rPr>
          <w:rFonts w:cs="Arial"/>
          <w:color w:val="000000" w:themeColor="text1"/>
          <w:lang w:val="pl-PL"/>
        </w:rPr>
      </w:pPr>
      <w:r w:rsidRPr="00C069CF">
        <w:rPr>
          <w:rFonts w:cs="Arial"/>
          <w:color w:val="000000" w:themeColor="text1"/>
          <w:lang w:val="pl-PL"/>
        </w:rPr>
        <w:t>Ogólne zasady przeprowadzania testów okreś</w:t>
      </w:r>
      <w:r w:rsidR="00397D60" w:rsidRPr="00C069CF">
        <w:rPr>
          <w:rFonts w:cs="Arial"/>
          <w:color w:val="000000" w:themeColor="text1"/>
          <w:lang w:val="pl-PL"/>
        </w:rPr>
        <w:t>lono w Procedurze</w:t>
      </w:r>
      <w:r w:rsidRPr="00C069CF">
        <w:rPr>
          <w:rFonts w:cs="Arial"/>
          <w:color w:val="000000" w:themeColor="text1"/>
          <w:lang w:val="pl-PL"/>
        </w:rPr>
        <w:t xml:space="preserve"> testowania</w:t>
      </w:r>
      <w:r w:rsidR="00397D60" w:rsidRPr="00C069CF">
        <w:rPr>
          <w:rFonts w:cs="Arial"/>
          <w:color w:val="000000" w:themeColor="text1"/>
          <w:lang w:val="pl-PL"/>
        </w:rPr>
        <w:t>, symulacji i certyfikacji systemu</w:t>
      </w:r>
      <w:r w:rsidRPr="00C069CF">
        <w:rPr>
          <w:rFonts w:cs="Arial"/>
          <w:color w:val="000000" w:themeColor="text1"/>
          <w:lang w:val="pl-PL"/>
        </w:rPr>
        <w:t xml:space="preserve"> HVDC, a niniejsz</w:t>
      </w:r>
      <w:r w:rsidR="00E322E3" w:rsidRPr="00C069CF">
        <w:rPr>
          <w:rFonts w:cs="Arial"/>
          <w:color w:val="000000" w:themeColor="text1"/>
          <w:lang w:val="pl-PL"/>
        </w:rPr>
        <w:t>y</w:t>
      </w:r>
      <w:r w:rsidRPr="00C069CF">
        <w:rPr>
          <w:rFonts w:cs="Arial"/>
          <w:color w:val="000000" w:themeColor="text1"/>
          <w:lang w:val="pl-PL"/>
        </w:rPr>
        <w:t xml:space="preserve"> dokument jest ściśle z nim powiązany i stanowi jego uszczegółowienie w zakresie przeprowadzenia testów potwierdzających zdolność systemów HVDC do pracy w trybie LFSM-U zgodnie z art. 71 ust. 8 w zw. z załącznikiem II rozporządzenia NC HVDC.</w:t>
      </w:r>
    </w:p>
    <w:p w14:paraId="53FB6EFA" w14:textId="77777777" w:rsidR="00EA33B0" w:rsidRPr="00C069CF" w:rsidRDefault="00EA33B0" w:rsidP="00EA33B0">
      <w:pPr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6FDD61EE" w14:textId="4251228F" w:rsidR="00EA33B0" w:rsidRPr="00C069CF" w:rsidRDefault="00E322E3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2" w:name="_Toc12338937"/>
      <w:r w:rsidRPr="00C069CF">
        <w:rPr>
          <w:color w:val="000000" w:themeColor="text1"/>
        </w:rPr>
        <w:t>Skróty stosowane w dokumencie</w:t>
      </w:r>
      <w:bookmarkEnd w:id="2"/>
    </w:p>
    <w:p w14:paraId="3725E950" w14:textId="55CD7F2F" w:rsidR="003D050E" w:rsidRPr="00C069CF" w:rsidRDefault="003D050E" w:rsidP="003D050E">
      <w:pPr>
        <w:spacing w:line="360" w:lineRule="auto"/>
        <w:rPr>
          <w:rFonts w:cs="Arial"/>
          <w:color w:val="000000" w:themeColor="text1"/>
          <w:lang w:val="pl-PL"/>
        </w:rPr>
      </w:pPr>
      <w:r w:rsidRPr="00C069CF">
        <w:rPr>
          <w:rFonts w:cs="Arial"/>
          <w:color w:val="000000" w:themeColor="text1"/>
          <w:lang w:val="pl-PL"/>
        </w:rPr>
        <w:t>Sformułowania występujące w niniejszym dokumencie są zgodne z definicjami określonymi w NC HVDC</w:t>
      </w:r>
      <w:r w:rsidR="00397D60" w:rsidRPr="00C069CF">
        <w:rPr>
          <w:rFonts w:cs="Arial"/>
          <w:color w:val="000000" w:themeColor="text1"/>
          <w:lang w:val="pl-PL"/>
        </w:rPr>
        <w:t xml:space="preserve"> oraz</w:t>
      </w:r>
      <w:r w:rsidR="00E322E3" w:rsidRPr="00C069CF">
        <w:rPr>
          <w:rFonts w:cs="Arial"/>
          <w:color w:val="000000" w:themeColor="text1"/>
          <w:lang w:val="pl-PL"/>
        </w:rPr>
        <w:t xml:space="preserve"> w dokumentach związanych wynikających z zapisów NC HVDC</w:t>
      </w:r>
      <w:r w:rsidR="00397D60" w:rsidRPr="00C069CF">
        <w:rPr>
          <w:rFonts w:cs="Arial"/>
          <w:color w:val="000000" w:themeColor="text1"/>
          <w:lang w:val="pl-PL"/>
        </w:rPr>
        <w:t>.</w:t>
      </w:r>
      <w:r w:rsidRPr="00C069CF">
        <w:rPr>
          <w:rFonts w:cs="Arial"/>
          <w:color w:val="000000" w:themeColor="text1"/>
          <w:lang w:val="pl-PL"/>
        </w:rPr>
        <w:t xml:space="preserve"> </w:t>
      </w:r>
    </w:p>
    <w:p w14:paraId="44747AB4" w14:textId="27F2464A" w:rsidR="003D050E" w:rsidRPr="00C069CF" w:rsidRDefault="003D050E" w:rsidP="003D050E">
      <w:pPr>
        <w:spacing w:after="0" w:line="360" w:lineRule="auto"/>
        <w:ind w:firstLine="360"/>
        <w:rPr>
          <w:rFonts w:eastAsiaTheme="minorHAnsi" w:cs="Arial"/>
          <w:color w:val="000000" w:themeColor="text1"/>
          <w:szCs w:val="22"/>
          <w:u w:val="single"/>
          <w:lang w:val="pl-PL" w:eastAsia="pl-PL"/>
        </w:rPr>
      </w:pPr>
      <w:r w:rsidRPr="00C069CF">
        <w:rPr>
          <w:rFonts w:eastAsiaTheme="minorHAnsi" w:cs="Arial"/>
          <w:color w:val="000000" w:themeColor="text1"/>
          <w:szCs w:val="22"/>
          <w:u w:val="single"/>
          <w:lang w:val="pl-PL" w:eastAsia="pl-PL"/>
        </w:rPr>
        <w:t>Wykaz stosowanych skrótów:</w:t>
      </w:r>
    </w:p>
    <w:p w14:paraId="23DD736C" w14:textId="1474A697" w:rsidR="00437F1D" w:rsidRPr="00C069CF" w:rsidRDefault="00437F1D">
      <w:pPr>
        <w:pStyle w:val="Akapitzlist"/>
        <w:numPr>
          <w:ilvl w:val="0"/>
          <w:numId w:val="1"/>
        </w:numPr>
        <w:spacing w:before="0" w:after="0"/>
        <w:contextualSpacing/>
        <w:rPr>
          <w:rFonts w:eastAsia="Calibri" w:cs="Arial"/>
          <w:b/>
          <w:color w:val="000000" w:themeColor="text1"/>
        </w:rPr>
      </w:pPr>
      <w:proofErr w:type="spellStart"/>
      <w:r w:rsidRPr="00C069CF">
        <w:rPr>
          <w:rFonts w:eastAsia="Calibri" w:cs="Arial"/>
          <w:b/>
          <w:color w:val="000000" w:themeColor="text1"/>
        </w:rPr>
        <w:t>P</w:t>
      </w:r>
      <w:r w:rsidRPr="00C069CF">
        <w:rPr>
          <w:rFonts w:eastAsia="Calibri" w:cs="Arial"/>
          <w:b/>
          <w:color w:val="000000" w:themeColor="text1"/>
          <w:vertAlign w:val="subscript"/>
        </w:rPr>
        <w:t>min</w:t>
      </w:r>
      <w:proofErr w:type="spellEnd"/>
      <w:r w:rsidRPr="00C069CF">
        <w:rPr>
          <w:rFonts w:eastAsia="Calibri" w:cs="Arial"/>
          <w:b/>
          <w:color w:val="000000" w:themeColor="text1"/>
        </w:rPr>
        <w:t xml:space="preserve"> – </w:t>
      </w:r>
      <w:r w:rsidRPr="00C069CF">
        <w:rPr>
          <w:rFonts w:eastAsia="Calibri" w:cs="Arial"/>
          <w:color w:val="000000" w:themeColor="text1"/>
        </w:rPr>
        <w:t>minimalna zdolność przesyłowa mocy czynnej HVDC zgodna z definicją</w:t>
      </w:r>
      <w:r w:rsidR="00E322E3" w:rsidRPr="00C069CF">
        <w:rPr>
          <w:rFonts w:eastAsia="Calibri" w:cs="Arial"/>
          <w:color w:val="000000" w:themeColor="text1"/>
        </w:rPr>
        <w:t xml:space="preserve"> </w:t>
      </w:r>
      <w:r w:rsidRPr="00C069CF">
        <w:rPr>
          <w:rFonts w:eastAsia="Calibri" w:cs="Arial"/>
          <w:color w:val="000000" w:themeColor="text1"/>
        </w:rPr>
        <w:t>w NC HVDC</w:t>
      </w:r>
      <w:r w:rsidR="00E322E3" w:rsidRPr="00C069CF">
        <w:rPr>
          <w:rFonts w:eastAsia="Calibri" w:cs="Arial"/>
          <w:color w:val="000000" w:themeColor="text1"/>
        </w:rPr>
        <w:t>,</w:t>
      </w:r>
    </w:p>
    <w:p w14:paraId="01A1BA33" w14:textId="01264EEE" w:rsidR="00437F1D" w:rsidRPr="00C069CF" w:rsidRDefault="00437F1D">
      <w:pPr>
        <w:pStyle w:val="Akapitzlist"/>
        <w:numPr>
          <w:ilvl w:val="0"/>
          <w:numId w:val="1"/>
        </w:numPr>
        <w:spacing w:before="0" w:after="0"/>
        <w:contextualSpacing/>
        <w:rPr>
          <w:rFonts w:eastAsia="Calibri" w:cs="Arial"/>
          <w:color w:val="000000" w:themeColor="text1"/>
        </w:rPr>
      </w:pPr>
      <w:proofErr w:type="spellStart"/>
      <w:r w:rsidRPr="00C069CF">
        <w:rPr>
          <w:rFonts w:eastAsia="Calibri" w:cs="Arial"/>
          <w:b/>
          <w:color w:val="000000" w:themeColor="text1"/>
        </w:rPr>
        <w:t>P</w:t>
      </w:r>
      <w:r w:rsidRPr="00C069CF">
        <w:rPr>
          <w:rFonts w:eastAsia="Calibri" w:cs="Arial"/>
          <w:b/>
          <w:color w:val="000000" w:themeColor="text1"/>
          <w:vertAlign w:val="subscript"/>
        </w:rPr>
        <w:t>max</w:t>
      </w:r>
      <w:proofErr w:type="spellEnd"/>
      <w:r w:rsidRPr="00C069CF">
        <w:rPr>
          <w:rFonts w:eastAsia="Calibri" w:cs="Arial"/>
          <w:color w:val="000000" w:themeColor="text1"/>
        </w:rPr>
        <w:t xml:space="preserve"> – maksymalna zdolność przesyłowa mocy czynnej HVDC zgodna z definicją</w:t>
      </w:r>
      <w:r w:rsidRPr="00C069CF">
        <w:rPr>
          <w:rFonts w:cs="Arial"/>
          <w:color w:val="000000" w:themeColor="text1"/>
        </w:rPr>
        <w:t xml:space="preserve"> </w:t>
      </w:r>
      <w:r w:rsidRPr="00C069CF">
        <w:rPr>
          <w:rFonts w:eastAsia="Calibri" w:cs="Arial"/>
          <w:color w:val="000000" w:themeColor="text1"/>
        </w:rPr>
        <w:t>w NC HVDC</w:t>
      </w:r>
      <w:r w:rsidR="00E322E3" w:rsidRPr="00C069CF">
        <w:rPr>
          <w:rFonts w:eastAsia="Calibri" w:cs="Arial"/>
          <w:color w:val="000000" w:themeColor="text1"/>
        </w:rPr>
        <w:t>,</w:t>
      </w:r>
    </w:p>
    <w:p w14:paraId="5CA0ADA5" w14:textId="07321591" w:rsidR="0011440D" w:rsidRPr="00C069CF" w:rsidRDefault="00DE391F" w:rsidP="007A5276">
      <w:pPr>
        <w:pStyle w:val="Akapitzlist"/>
        <w:numPr>
          <w:ilvl w:val="0"/>
          <w:numId w:val="1"/>
        </w:numPr>
        <w:spacing w:before="0" w:after="0"/>
        <w:contextualSpacing/>
        <w:jc w:val="left"/>
        <w:rPr>
          <w:rFonts w:cstheme="minorHAnsi"/>
          <w:color w:val="000000" w:themeColor="text1"/>
        </w:rPr>
      </w:pPr>
      <w:r w:rsidRPr="00C069CF">
        <w:rPr>
          <w:rFonts w:cs="Arial"/>
          <w:b/>
          <w:color w:val="000000" w:themeColor="text1"/>
        </w:rPr>
        <w:t>P</w:t>
      </w:r>
      <w:r w:rsidRPr="00C069CF">
        <w:rPr>
          <w:rFonts w:cs="Arial"/>
          <w:b/>
          <w:color w:val="000000" w:themeColor="text1"/>
          <w:vertAlign w:val="subscript"/>
        </w:rPr>
        <w:t>SP</w:t>
      </w:r>
      <w:r w:rsidRPr="00C069CF" w:rsidDel="00DE391F">
        <w:rPr>
          <w:rFonts w:cstheme="minorHAnsi"/>
          <w:b/>
          <w:color w:val="000000" w:themeColor="text1"/>
        </w:rPr>
        <w:t xml:space="preserve"> </w:t>
      </w:r>
      <w:r w:rsidR="0011440D" w:rsidRPr="00C069CF">
        <w:rPr>
          <w:color w:val="000000" w:themeColor="text1"/>
        </w:rPr>
        <w:t xml:space="preserve">– </w:t>
      </w:r>
      <w:r w:rsidR="00E322E3" w:rsidRPr="00C069CF">
        <w:rPr>
          <w:color w:val="000000" w:themeColor="text1"/>
        </w:rPr>
        <w:t xml:space="preserve">wartość zadana mocy czynnej </w:t>
      </w:r>
      <w:proofErr w:type="gramStart"/>
      <w:r w:rsidR="00E322E3" w:rsidRPr="00C069CF">
        <w:rPr>
          <w:color w:val="000000" w:themeColor="text1"/>
        </w:rPr>
        <w:t xml:space="preserve">w </w:t>
      </w:r>
      <w:proofErr w:type="spellStart"/>
      <w:r w:rsidR="00E322E3" w:rsidRPr="00C069CF">
        <w:rPr>
          <w:color w:val="000000" w:themeColor="text1"/>
        </w:rPr>
        <w:t>w</w:t>
      </w:r>
      <w:proofErr w:type="spellEnd"/>
      <w:proofErr w:type="gramEnd"/>
      <w:r w:rsidR="00E322E3" w:rsidRPr="00C069CF">
        <w:rPr>
          <w:color w:val="000000" w:themeColor="text1"/>
        </w:rPr>
        <w:t xml:space="preserve"> układach regulacji systemu HVDC,</w:t>
      </w:r>
    </w:p>
    <w:p w14:paraId="27720783" w14:textId="55740508" w:rsidR="00397D60" w:rsidRPr="00C069CF" w:rsidRDefault="00397D60" w:rsidP="00397D60">
      <w:pPr>
        <w:pStyle w:val="Akapitzlist"/>
        <w:numPr>
          <w:ilvl w:val="0"/>
          <w:numId w:val="1"/>
        </w:numPr>
        <w:spacing w:before="0" w:after="0"/>
        <w:contextualSpacing/>
        <w:rPr>
          <w:rFonts w:cs="Arial"/>
          <w:color w:val="000000" w:themeColor="text1"/>
        </w:rPr>
      </w:pPr>
      <w:r w:rsidRPr="00C069CF">
        <w:rPr>
          <w:rFonts w:cs="Arial"/>
          <w:b/>
          <w:color w:val="000000" w:themeColor="text1"/>
        </w:rPr>
        <w:t xml:space="preserve">Procedura testowania, symulacji i certyfikacji systemu HVDC </w:t>
      </w:r>
      <w:r w:rsidRPr="00C069CF">
        <w:rPr>
          <w:rFonts w:cs="Arial"/>
          <w:color w:val="000000" w:themeColor="text1"/>
        </w:rPr>
        <w:t>– dokument pt. „</w:t>
      </w:r>
      <w:r w:rsidRPr="00C069CF">
        <w:rPr>
          <w:rFonts w:cs="Arial"/>
          <w:i/>
          <w:color w:val="000000" w:themeColor="text1"/>
        </w:rPr>
        <w:t>Procedura testowania systemów HVDC wraz z podziałem obowiązków między właścicielem systemu HVDC a właściwym operatorem systemu na potrzeby testów oraz warunki i procedura dotyczące wykorzystania odpowiednich certyfikatów sprzętu</w:t>
      </w:r>
      <w:r w:rsidRPr="00C069CF">
        <w:rPr>
          <w:rFonts w:cs="Arial"/>
          <w:color w:val="000000" w:themeColor="text1"/>
        </w:rPr>
        <w:t>”,</w:t>
      </w:r>
    </w:p>
    <w:p w14:paraId="48A4F438" w14:textId="0A8A438E" w:rsidR="00E322E3" w:rsidRPr="00C069CF" w:rsidRDefault="00E322E3" w:rsidP="007A5276">
      <w:pPr>
        <w:pStyle w:val="Akapitzlist"/>
        <w:numPr>
          <w:ilvl w:val="0"/>
          <w:numId w:val="1"/>
        </w:numPr>
        <w:spacing w:before="0" w:after="0"/>
        <w:contextualSpacing/>
        <w:jc w:val="left"/>
        <w:rPr>
          <w:rFonts w:cstheme="minorHAnsi"/>
          <w:color w:val="000000" w:themeColor="text1"/>
        </w:rPr>
      </w:pPr>
      <w:proofErr w:type="spellStart"/>
      <w:r w:rsidRPr="00C069CF">
        <w:rPr>
          <w:b/>
          <w:color w:val="000000" w:themeColor="text1"/>
        </w:rPr>
        <w:t>f</w:t>
      </w:r>
      <w:r w:rsidRPr="00C069CF">
        <w:rPr>
          <w:b/>
          <w:color w:val="000000" w:themeColor="text1"/>
          <w:vertAlign w:val="subscript"/>
        </w:rPr>
        <w:t>SP</w:t>
      </w:r>
      <w:proofErr w:type="spellEnd"/>
      <w:r w:rsidRPr="00C069CF">
        <w:rPr>
          <w:b/>
          <w:color w:val="000000" w:themeColor="text1"/>
        </w:rPr>
        <w:t xml:space="preserve"> –</w:t>
      </w:r>
      <w:r w:rsidRPr="00C069CF">
        <w:rPr>
          <w:rFonts w:cstheme="minorHAnsi"/>
          <w:color w:val="000000" w:themeColor="text1"/>
        </w:rPr>
        <w:t xml:space="preserve"> wartość zadana częstotliwości w układach regulacji systemu HVDC,</w:t>
      </w:r>
    </w:p>
    <w:p w14:paraId="1B327999" w14:textId="205DB82B" w:rsidR="0011440D" w:rsidRPr="00C069CF" w:rsidRDefault="00DE391F" w:rsidP="007A5276">
      <w:pPr>
        <w:pStyle w:val="Akapitzlist"/>
        <w:numPr>
          <w:ilvl w:val="0"/>
          <w:numId w:val="1"/>
        </w:numPr>
        <w:spacing w:before="0" w:after="0"/>
        <w:contextualSpacing/>
        <w:jc w:val="left"/>
        <w:rPr>
          <w:b/>
          <w:color w:val="000000" w:themeColor="text1"/>
          <w:szCs w:val="22"/>
        </w:rPr>
      </w:pPr>
      <w:r w:rsidRPr="00C069CF">
        <w:rPr>
          <w:b/>
          <w:color w:val="000000" w:themeColor="text1"/>
          <w:szCs w:val="22"/>
        </w:rPr>
        <w:sym w:font="Symbol" w:char="0044"/>
      </w:r>
      <w:r w:rsidRPr="00C069CF">
        <w:rPr>
          <w:b/>
          <w:color w:val="000000" w:themeColor="text1"/>
          <w:szCs w:val="22"/>
        </w:rPr>
        <w:t>f</w:t>
      </w:r>
      <w:r w:rsidRPr="00C069CF">
        <w:rPr>
          <w:rFonts w:cs="Arial"/>
          <w:b/>
          <w:color w:val="000000" w:themeColor="text1"/>
          <w:szCs w:val="22"/>
        </w:rPr>
        <w:t xml:space="preserve"> </w:t>
      </w:r>
      <w:r w:rsidR="0011440D" w:rsidRPr="00C069CF">
        <w:rPr>
          <w:color w:val="000000" w:themeColor="text1"/>
          <w:szCs w:val="22"/>
        </w:rPr>
        <w:t xml:space="preserve">– </w:t>
      </w:r>
      <w:r w:rsidR="00E322E3" w:rsidRPr="00C069CF">
        <w:rPr>
          <w:color w:val="000000" w:themeColor="text1"/>
          <w:szCs w:val="22"/>
        </w:rPr>
        <w:t xml:space="preserve">odchyłka częstotliwości – </w:t>
      </w:r>
      <w:r w:rsidR="00B44427" w:rsidRPr="00C069CF">
        <w:rPr>
          <w:rFonts w:cs="Arial"/>
          <w:color w:val="000000" w:themeColor="text1"/>
          <w:szCs w:val="22"/>
        </w:rPr>
        <w:t xml:space="preserve">różnica </w:t>
      </w:r>
      <w:r w:rsidR="0011440D" w:rsidRPr="00C069CF">
        <w:rPr>
          <w:rFonts w:cs="Arial"/>
          <w:color w:val="000000" w:themeColor="text1"/>
          <w:szCs w:val="22"/>
        </w:rPr>
        <w:t>pomiędzy mierzoną lub symulowaną wartością częstotliwości, a jej wartością zadaną</w:t>
      </w:r>
      <w:r w:rsidR="00E322E3" w:rsidRPr="00C069CF">
        <w:rPr>
          <w:rFonts w:cs="Arial"/>
          <w:color w:val="000000" w:themeColor="text1"/>
          <w:szCs w:val="22"/>
        </w:rPr>
        <w:t xml:space="preserve"> </w:t>
      </w:r>
      <w:proofErr w:type="spellStart"/>
      <w:r w:rsidR="00E322E3" w:rsidRPr="00C069CF">
        <w:rPr>
          <w:rFonts w:cs="Arial"/>
          <w:color w:val="000000" w:themeColor="text1"/>
          <w:szCs w:val="22"/>
        </w:rPr>
        <w:t>f</w:t>
      </w:r>
      <w:r w:rsidR="00E322E3" w:rsidRPr="00C069CF">
        <w:rPr>
          <w:rFonts w:cs="Arial"/>
          <w:color w:val="000000" w:themeColor="text1"/>
          <w:szCs w:val="22"/>
          <w:vertAlign w:val="subscript"/>
        </w:rPr>
        <w:t>SP</w:t>
      </w:r>
      <w:proofErr w:type="spellEnd"/>
      <w:r w:rsidR="00E322E3" w:rsidRPr="00C069CF">
        <w:rPr>
          <w:rFonts w:cs="Arial"/>
          <w:color w:val="000000" w:themeColor="text1"/>
          <w:szCs w:val="22"/>
        </w:rPr>
        <w:t>,</w:t>
      </w:r>
    </w:p>
    <w:p w14:paraId="24FC5936" w14:textId="3F631F5E" w:rsidR="0011440D" w:rsidRPr="00C069CF" w:rsidRDefault="001144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r w:rsidRPr="00C069CF">
        <w:rPr>
          <w:b/>
          <w:color w:val="000000" w:themeColor="text1"/>
          <w:szCs w:val="22"/>
        </w:rPr>
        <w:sym w:font="Symbol" w:char="0044"/>
      </w:r>
      <w:r w:rsidRPr="00C069CF">
        <w:rPr>
          <w:b/>
          <w:color w:val="000000" w:themeColor="text1"/>
          <w:szCs w:val="22"/>
        </w:rPr>
        <w:t>P(</w:t>
      </w:r>
      <w:r w:rsidRPr="00C069CF">
        <w:rPr>
          <w:b/>
          <w:color w:val="000000" w:themeColor="text1"/>
          <w:szCs w:val="22"/>
        </w:rPr>
        <w:sym w:font="Symbol" w:char="0044"/>
      </w:r>
      <w:r w:rsidRPr="00C069CF">
        <w:rPr>
          <w:b/>
          <w:color w:val="000000" w:themeColor="text1"/>
          <w:szCs w:val="22"/>
        </w:rPr>
        <w:t>f)</w:t>
      </w:r>
      <w:r w:rsidRPr="00C069CF">
        <w:rPr>
          <w:color w:val="000000" w:themeColor="text1"/>
          <w:szCs w:val="22"/>
        </w:rPr>
        <w:t xml:space="preserve"> – </w:t>
      </w:r>
      <w:r w:rsidR="00E322E3" w:rsidRPr="00C069CF">
        <w:rPr>
          <w:color w:val="000000" w:themeColor="text1"/>
          <w:szCs w:val="22"/>
        </w:rPr>
        <w:t xml:space="preserve">odpowiedź częstotliwościowa – </w:t>
      </w:r>
      <w:r w:rsidR="00DE391F" w:rsidRPr="00C069CF">
        <w:rPr>
          <w:color w:val="000000" w:themeColor="text1"/>
          <w:szCs w:val="22"/>
        </w:rPr>
        <w:t xml:space="preserve">zmiana </w:t>
      </w:r>
      <w:r w:rsidRPr="00C069CF">
        <w:rPr>
          <w:color w:val="000000" w:themeColor="text1"/>
          <w:szCs w:val="22"/>
        </w:rPr>
        <w:t xml:space="preserve">mocy czynnej </w:t>
      </w:r>
      <w:r w:rsidR="00E322E3" w:rsidRPr="00C069CF">
        <w:rPr>
          <w:color w:val="000000" w:themeColor="text1"/>
          <w:szCs w:val="22"/>
        </w:rPr>
        <w:t xml:space="preserve">przesyłanej przez </w:t>
      </w:r>
      <w:r w:rsidR="00DE391F" w:rsidRPr="00C069CF">
        <w:rPr>
          <w:color w:val="000000" w:themeColor="text1"/>
          <w:szCs w:val="22"/>
        </w:rPr>
        <w:t>system HVDC</w:t>
      </w:r>
      <w:r w:rsidRPr="00C069CF">
        <w:rPr>
          <w:color w:val="000000" w:themeColor="text1"/>
          <w:szCs w:val="22"/>
        </w:rPr>
        <w:t xml:space="preserve"> wywołana odchyłką częstotliwości</w:t>
      </w:r>
      <w:r w:rsidR="00E322E3" w:rsidRPr="00C069CF">
        <w:rPr>
          <w:color w:val="000000" w:themeColor="text1"/>
          <w:szCs w:val="22"/>
        </w:rPr>
        <w:t xml:space="preserve"> </w:t>
      </w:r>
      <w:r w:rsidR="00E322E3" w:rsidRPr="00C069CF">
        <w:rPr>
          <w:color w:val="000000" w:themeColor="text1"/>
          <w:szCs w:val="22"/>
        </w:rPr>
        <w:sym w:font="Symbol" w:char="0044"/>
      </w:r>
      <w:r w:rsidR="00E322E3" w:rsidRPr="00C069CF">
        <w:rPr>
          <w:color w:val="000000" w:themeColor="text1"/>
          <w:szCs w:val="22"/>
        </w:rPr>
        <w:t>f.</w:t>
      </w:r>
    </w:p>
    <w:p w14:paraId="3208F4F4" w14:textId="07128E23" w:rsidR="00B747A2" w:rsidRPr="00C069CF" w:rsidRDefault="00B747A2" w:rsidP="00EA4BEA">
      <w:pPr>
        <w:spacing w:after="160" w:line="259" w:lineRule="auto"/>
        <w:contextualSpacing/>
        <w:rPr>
          <w:color w:val="000000" w:themeColor="text1"/>
          <w:lang w:val="pl-PL"/>
        </w:rPr>
      </w:pPr>
    </w:p>
    <w:p w14:paraId="0BE85C71" w14:textId="7B5AA5F3" w:rsidR="00E322E3" w:rsidRPr="00C069CF" w:rsidRDefault="00E322E3" w:rsidP="00281AB1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3" w:name="_Toc12338938"/>
      <w:r w:rsidRPr="00C069CF">
        <w:rPr>
          <w:color w:val="000000" w:themeColor="text1"/>
        </w:rPr>
        <w:t>Parametry techniczne testowanego systemu HVDC</w:t>
      </w:r>
      <w:bookmarkEnd w:id="3"/>
    </w:p>
    <w:p w14:paraId="4E978C49" w14:textId="77777777" w:rsidR="00E322E3" w:rsidRPr="00C069CF" w:rsidRDefault="00E322E3" w:rsidP="00E322E3">
      <w:pPr>
        <w:spacing w:after="200"/>
        <w:rPr>
          <w:color w:val="000000" w:themeColor="text1"/>
          <w:szCs w:val="22"/>
          <w:lang w:val="pl-PL"/>
        </w:rPr>
      </w:pPr>
      <w:r w:rsidRPr="00C069CF">
        <w:rPr>
          <w:color w:val="000000" w:themeColor="text1"/>
          <w:szCs w:val="22"/>
          <w:lang w:val="pl-PL"/>
        </w:rPr>
        <w:t>Minimalne wymagania co do zakresu informacji technicznych o testowanym systemie HVDC, które należy przedstawić w szczegółowym programie testu zdolności do pracy w trybie FSM, powinny obejmować ogólny opis techniczny obiektu zawierający m. in.:</w:t>
      </w:r>
    </w:p>
    <w:p w14:paraId="26EDB559" w14:textId="77777777" w:rsidR="00E322E3" w:rsidRPr="00C069CF" w:rsidRDefault="00E322E3" w:rsidP="00E322E3">
      <w:pPr>
        <w:pStyle w:val="Akapitzlist"/>
        <w:widowControl w:val="0"/>
        <w:numPr>
          <w:ilvl w:val="0"/>
          <w:numId w:val="36"/>
        </w:numPr>
        <w:tabs>
          <w:tab w:val="left" w:pos="355"/>
        </w:tabs>
        <w:autoSpaceDE w:val="0"/>
        <w:autoSpaceDN w:val="0"/>
        <w:adjustRightInd w:val="0"/>
        <w:spacing w:before="0" w:after="16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informacje na temat punktów przyłączenia systemu HVDC,</w:t>
      </w:r>
    </w:p>
    <w:p w14:paraId="0852CF3B" w14:textId="77777777" w:rsidR="00E322E3" w:rsidRPr="00C069CF" w:rsidRDefault="00E322E3" w:rsidP="00E322E3">
      <w:pPr>
        <w:pStyle w:val="Akapitzlist"/>
        <w:widowControl w:val="0"/>
        <w:numPr>
          <w:ilvl w:val="0"/>
          <w:numId w:val="36"/>
        </w:numPr>
        <w:tabs>
          <w:tab w:val="left" w:pos="355"/>
        </w:tabs>
        <w:autoSpaceDE w:val="0"/>
        <w:autoSpaceDN w:val="0"/>
        <w:adjustRightInd w:val="0"/>
        <w:spacing w:before="0" w:after="16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informacje na temat technologii zastosowanej w systemie HVDC,</w:t>
      </w:r>
    </w:p>
    <w:p w14:paraId="6BE4D13D" w14:textId="77777777" w:rsidR="00E322E3" w:rsidRPr="00C069CF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lokalizacje stacji przekształtnikowych,</w:t>
      </w:r>
    </w:p>
    <w:p w14:paraId="443C03F3" w14:textId="77777777" w:rsidR="00E322E3" w:rsidRPr="00C069CF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lastRenderedPageBreak/>
        <w:t>podstawowy opis układu elektroenergetycznego systemu HVDC, w tym schemat układu wraz z wyprowadzeniem mocy,</w:t>
      </w:r>
    </w:p>
    <w:p w14:paraId="4D70659B" w14:textId="70706BCB" w:rsidR="00E322E3" w:rsidRPr="00C069CF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zestawienie nastawionych parametrów układu regulacji LFSM-U systemu HVDC,</w:t>
      </w:r>
    </w:p>
    <w:p w14:paraId="6BF6CD76" w14:textId="77777777" w:rsidR="00E322E3" w:rsidRPr="00C069CF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zestawienie wybranych wartości granicznych punktów pracy systemu HVDC: </w:t>
      </w:r>
      <w:proofErr w:type="spellStart"/>
      <w:r w:rsidRPr="00C069CF">
        <w:rPr>
          <w:rFonts w:cs="Arial"/>
          <w:color w:val="000000" w:themeColor="text1"/>
        </w:rPr>
        <w:t>P</w:t>
      </w:r>
      <w:r w:rsidRPr="00C069CF">
        <w:rPr>
          <w:rFonts w:cs="Arial"/>
          <w:color w:val="000000" w:themeColor="text1"/>
          <w:vertAlign w:val="subscript"/>
        </w:rPr>
        <w:t>max</w:t>
      </w:r>
      <w:proofErr w:type="spellEnd"/>
      <w:r w:rsidRPr="00C069CF">
        <w:rPr>
          <w:rFonts w:cs="Arial"/>
          <w:color w:val="000000" w:themeColor="text1"/>
        </w:rPr>
        <w:t xml:space="preserve"> i </w:t>
      </w:r>
      <w:proofErr w:type="spellStart"/>
      <w:r w:rsidRPr="00C069CF">
        <w:rPr>
          <w:rFonts w:cs="Arial"/>
          <w:color w:val="000000" w:themeColor="text1"/>
        </w:rPr>
        <w:t>P</w:t>
      </w:r>
      <w:r w:rsidRPr="00C069CF">
        <w:rPr>
          <w:rFonts w:cs="Arial"/>
          <w:color w:val="000000" w:themeColor="text1"/>
          <w:vertAlign w:val="subscript"/>
        </w:rPr>
        <w:t>min</w:t>
      </w:r>
      <w:proofErr w:type="spellEnd"/>
      <w:r w:rsidRPr="00C069CF">
        <w:rPr>
          <w:rFonts w:cs="Arial"/>
          <w:color w:val="000000" w:themeColor="text1"/>
        </w:rPr>
        <w:t>,</w:t>
      </w:r>
    </w:p>
    <w:p w14:paraId="6DE39646" w14:textId="77777777" w:rsidR="00E322E3" w:rsidRPr="00C069CF" w:rsidRDefault="00E322E3" w:rsidP="00EA4BEA">
      <w:pPr>
        <w:spacing w:after="160" w:line="259" w:lineRule="auto"/>
        <w:contextualSpacing/>
        <w:rPr>
          <w:color w:val="000000" w:themeColor="text1"/>
          <w:lang w:val="pl-PL"/>
        </w:rPr>
      </w:pPr>
    </w:p>
    <w:p w14:paraId="007B8619" w14:textId="5CFCDEA9" w:rsidR="00EA33B0" w:rsidRPr="00C069CF" w:rsidRDefault="00E322E3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4" w:name="_Toc12338939"/>
      <w:r w:rsidRPr="00C069CF">
        <w:rPr>
          <w:color w:val="000000" w:themeColor="text1"/>
        </w:rPr>
        <w:t xml:space="preserve">Ogólne zasady przeprowadzenia </w:t>
      </w:r>
      <w:r w:rsidR="007C4FB4" w:rsidRPr="00C069CF">
        <w:rPr>
          <w:color w:val="000000" w:themeColor="text1"/>
        </w:rPr>
        <w:t>testu</w:t>
      </w:r>
      <w:bookmarkEnd w:id="4"/>
    </w:p>
    <w:p w14:paraId="36D6447F" w14:textId="0455819A" w:rsidR="00E322E3" w:rsidRPr="00C069CF" w:rsidRDefault="00E322E3" w:rsidP="00E322E3">
      <w:pPr>
        <w:spacing w:after="200"/>
        <w:rPr>
          <w:color w:val="000000" w:themeColor="text1"/>
          <w:lang w:val="pl-PL"/>
        </w:rPr>
      </w:pPr>
      <w:r w:rsidRPr="00C069CF">
        <w:rPr>
          <w:color w:val="000000" w:themeColor="text1"/>
          <w:lang w:val="pl-PL"/>
        </w:rPr>
        <w:t xml:space="preserve">Podstawowym sposobem weryfikacji spełnienia wymagań w zakresie zdolności systemu HVDC do odpowiedzi częstotliwościowej mocy czynnej w trybie LFSM-U poprzez zwiększanie mocy importowej lub zmniejszanie mocy eksportowej nadążnie do </w:t>
      </w:r>
      <w:r w:rsidR="006E3BA3" w:rsidRPr="00C069CF">
        <w:rPr>
          <w:color w:val="000000" w:themeColor="text1"/>
          <w:lang w:val="pl-PL"/>
        </w:rPr>
        <w:t xml:space="preserve">spadku </w:t>
      </w:r>
      <w:r w:rsidRPr="00C069CF">
        <w:rPr>
          <w:color w:val="000000" w:themeColor="text1"/>
          <w:lang w:val="pl-PL"/>
        </w:rPr>
        <w:t xml:space="preserve">częstotliwości w sieci prądu przemiennego poniżej </w:t>
      </w:r>
      <w:r w:rsidR="00ED3157" w:rsidRPr="00C069CF">
        <w:rPr>
          <w:color w:val="000000" w:themeColor="text1"/>
          <w:lang w:val="pl-PL"/>
        </w:rPr>
        <w:t xml:space="preserve">określonej </w:t>
      </w:r>
      <w:r w:rsidRPr="00C069CF">
        <w:rPr>
          <w:color w:val="000000" w:themeColor="text1"/>
          <w:lang w:val="pl-PL"/>
        </w:rPr>
        <w:t xml:space="preserve">wartości </w:t>
      </w:r>
      <w:r w:rsidR="00ED3157" w:rsidRPr="00C069CF">
        <w:rPr>
          <w:color w:val="000000" w:themeColor="text1"/>
          <w:lang w:val="pl-PL"/>
        </w:rPr>
        <w:t xml:space="preserve">(niższej niż </w:t>
      </w:r>
      <w:r w:rsidRPr="00C069CF">
        <w:rPr>
          <w:color w:val="000000" w:themeColor="text1"/>
          <w:lang w:val="pl-PL"/>
        </w:rPr>
        <w:t>znamionow</w:t>
      </w:r>
      <w:r w:rsidR="00ED3157" w:rsidRPr="00C069CF">
        <w:rPr>
          <w:color w:val="000000" w:themeColor="text1"/>
          <w:lang w:val="pl-PL"/>
        </w:rPr>
        <w:t>a)</w:t>
      </w:r>
      <w:r w:rsidRPr="00C069CF">
        <w:rPr>
          <w:color w:val="000000" w:themeColor="text1"/>
          <w:lang w:val="pl-PL"/>
        </w:rPr>
        <w:t>, w sposób wspomagający przywrócenie docelowej wartości częstotliwości w tej sieci, jest przeprowadzenie testu obiektowego systemu HVDC.</w:t>
      </w:r>
    </w:p>
    <w:p w14:paraId="550E7C46" w14:textId="334A4795" w:rsidR="00E322E3" w:rsidRPr="00C069CF" w:rsidRDefault="00E322E3" w:rsidP="00E322E3">
      <w:pPr>
        <w:spacing w:after="200"/>
        <w:rPr>
          <w:color w:val="000000" w:themeColor="text1"/>
          <w:szCs w:val="22"/>
          <w:lang w:val="pl-PL"/>
        </w:rPr>
      </w:pPr>
      <w:r w:rsidRPr="00C069CF">
        <w:rPr>
          <w:color w:val="000000" w:themeColor="text1"/>
          <w:lang w:val="pl-PL"/>
        </w:rPr>
        <w:t>Warunki przeprowadzania testu powinny być zgodne z ogólnymi wymaganiami określonymi w ramach Procedury testowania</w:t>
      </w:r>
      <w:r w:rsidR="00397D60" w:rsidRPr="00C069CF">
        <w:rPr>
          <w:color w:val="000000" w:themeColor="text1"/>
          <w:lang w:val="pl-PL"/>
        </w:rPr>
        <w:t>, symulacji i certyfikacji systemu HVDC</w:t>
      </w:r>
      <w:r w:rsidRPr="00C069CF">
        <w:rPr>
          <w:color w:val="000000" w:themeColor="text1"/>
          <w:lang w:val="pl-PL"/>
        </w:rPr>
        <w:t xml:space="preserve"> oraz uwzględniać technologię zastosowaną w systemie HVDC. Docelowe rozstrzygnięcia w tym zakresie powinny być zawarte w programie szczegółowym.</w:t>
      </w:r>
    </w:p>
    <w:p w14:paraId="27C275DA" w14:textId="77777777" w:rsidR="00E322E3" w:rsidRPr="00C069CF" w:rsidRDefault="00E322E3" w:rsidP="00E322E3">
      <w:pPr>
        <w:pStyle w:val="LO-normal1"/>
        <w:overflowPunct w:val="0"/>
        <w:rPr>
          <w:color w:val="000000" w:themeColor="text1"/>
          <w:lang w:val="pl-PL"/>
        </w:rPr>
      </w:pPr>
    </w:p>
    <w:p w14:paraId="6A2FFFAA" w14:textId="77777777" w:rsidR="00E322E3" w:rsidRPr="00C069CF" w:rsidRDefault="00E322E3" w:rsidP="00E322E3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5" w:name="_Toc12308755"/>
      <w:bookmarkStart w:id="6" w:name="_Toc12337097"/>
      <w:bookmarkStart w:id="7" w:name="_Toc12338940"/>
      <w:r w:rsidRPr="00C069CF">
        <w:rPr>
          <w:color w:val="000000" w:themeColor="text1"/>
        </w:rPr>
        <w:t>Wymagane warunki w czasie realizacji testu</w:t>
      </w:r>
      <w:bookmarkEnd w:id="5"/>
      <w:bookmarkEnd w:id="6"/>
      <w:bookmarkEnd w:id="7"/>
    </w:p>
    <w:p w14:paraId="4E7003EF" w14:textId="77777777" w:rsidR="00E322E3" w:rsidRPr="00C069CF" w:rsidRDefault="00E322E3" w:rsidP="00E322E3">
      <w:pPr>
        <w:spacing w:after="200"/>
        <w:rPr>
          <w:color w:val="000000" w:themeColor="text1"/>
          <w:szCs w:val="22"/>
          <w:lang w:val="pl-PL"/>
        </w:rPr>
      </w:pPr>
      <w:r w:rsidRPr="00C069CF">
        <w:rPr>
          <w:color w:val="000000" w:themeColor="text1"/>
          <w:szCs w:val="22"/>
          <w:lang w:val="pl-PL"/>
        </w:rPr>
        <w:t>Dla przeprowadzenia testu niezbędne jest:</w:t>
      </w:r>
    </w:p>
    <w:p w14:paraId="3A53C63C" w14:textId="77777777" w:rsidR="00E322E3" w:rsidRPr="00C069CF" w:rsidRDefault="00E322E3" w:rsidP="00E322E3">
      <w:pPr>
        <w:pStyle w:val="Akapitzlist"/>
        <w:widowControl w:val="0"/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color w:val="000000" w:themeColor="text1"/>
          <w:szCs w:val="22"/>
        </w:rPr>
      </w:pPr>
      <w:r w:rsidRPr="00C069CF">
        <w:rPr>
          <w:color w:val="000000" w:themeColor="text1"/>
          <w:szCs w:val="22"/>
        </w:rPr>
        <w:t>przygotowanie przez właściwych OS zasobów wytwórczo-odbiorczych mocy czynnej w sieci prądu przemiennego w otoczeniu punktów przyłączenia systemu HVDC umożliwiających przeprowadzenie testów tego systemu,</w:t>
      </w:r>
    </w:p>
    <w:p w14:paraId="3AE8C08B" w14:textId="77777777" w:rsidR="00E322E3" w:rsidRPr="00C069CF" w:rsidRDefault="00E322E3" w:rsidP="00E322E3">
      <w:pPr>
        <w:pStyle w:val="Akapitzlist"/>
        <w:widowControl w:val="0"/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color w:val="000000" w:themeColor="text1"/>
          <w:szCs w:val="22"/>
        </w:rPr>
      </w:pPr>
      <w:r w:rsidRPr="00C069CF">
        <w:rPr>
          <w:color w:val="000000" w:themeColor="text1"/>
          <w:szCs w:val="22"/>
        </w:rPr>
        <w:t>kontrolowanie i utrzymanie wartości częstotliwości w sieci prądu przemiennego oraz obciążenia obiektów w sieci prądu przemiennego w otoczeniu punktów przyłączenia w dopuszczalnych granicach.</w:t>
      </w:r>
    </w:p>
    <w:p w14:paraId="0E2F58AF" w14:textId="408B30D3" w:rsidR="00E322E3" w:rsidRPr="00C069CF" w:rsidRDefault="00E322E3" w:rsidP="00E322E3">
      <w:pPr>
        <w:spacing w:line="360" w:lineRule="auto"/>
        <w:rPr>
          <w:rFonts w:cs="Arial"/>
          <w:color w:val="000000" w:themeColor="text1"/>
          <w:lang w:val="pl-PL"/>
        </w:rPr>
      </w:pPr>
    </w:p>
    <w:p w14:paraId="463B0B0E" w14:textId="35AECFF1" w:rsidR="00E322E3" w:rsidRPr="00C069CF" w:rsidRDefault="00E322E3" w:rsidP="00281AB1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8" w:name="_Toc12338941"/>
      <w:r w:rsidRPr="00C069CF">
        <w:rPr>
          <w:color w:val="000000" w:themeColor="text1"/>
        </w:rPr>
        <w:t>Wielkości mierzone</w:t>
      </w:r>
      <w:r w:rsidR="0035065F" w:rsidRPr="00C069CF">
        <w:rPr>
          <w:color w:val="000000" w:themeColor="text1"/>
        </w:rPr>
        <w:t xml:space="preserve"> w czasie realizacji testu</w:t>
      </w:r>
      <w:bookmarkEnd w:id="8"/>
    </w:p>
    <w:p w14:paraId="6223FF2F" w14:textId="13F995CF" w:rsidR="00E322E3" w:rsidRPr="00C069CF" w:rsidRDefault="00E322E3" w:rsidP="00E322E3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  <w:r w:rsidRPr="00C069CF">
        <w:rPr>
          <w:rFonts w:cs="Arial"/>
          <w:color w:val="000000" w:themeColor="text1"/>
          <w:lang w:val="pl-PL"/>
        </w:rPr>
        <w:t>Szczegółowy zakres podstawowych wielkości mierzonych powinien zostać określony na poziomie programu szczegółowego</w:t>
      </w:r>
      <w:r w:rsidR="0035065F" w:rsidRPr="00C069CF">
        <w:rPr>
          <w:rFonts w:cs="Arial"/>
          <w:color w:val="000000" w:themeColor="text1"/>
          <w:lang w:val="pl-PL"/>
        </w:rPr>
        <w:t>. Minimalny zakres pomiarów w punktach przyłączenia systemu HVDC powinien</w:t>
      </w:r>
      <w:r w:rsidRPr="00C069CF">
        <w:rPr>
          <w:rFonts w:cs="Arial"/>
          <w:color w:val="000000" w:themeColor="text1"/>
          <w:lang w:val="pl-PL"/>
        </w:rPr>
        <w:t xml:space="preserve"> obejmować co najmniej: </w:t>
      </w:r>
    </w:p>
    <w:p w14:paraId="328E388D" w14:textId="77777777" w:rsidR="0035065F" w:rsidRPr="00C069CF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częstotliwości,</w:t>
      </w:r>
    </w:p>
    <w:p w14:paraId="151C45E1" w14:textId="77777777" w:rsidR="0035065F" w:rsidRPr="00C069CF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mocy czynnej w układzie 3-fazowym,</w:t>
      </w:r>
    </w:p>
    <w:p w14:paraId="78B1753E" w14:textId="77777777" w:rsidR="0035065F" w:rsidRPr="00C069CF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napięć fazowych i/lub międzyfazowych,</w:t>
      </w:r>
    </w:p>
    <w:p w14:paraId="4AEBC7AE" w14:textId="77777777" w:rsidR="0035065F" w:rsidRPr="00C069CF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prądów fazowych.</w:t>
      </w:r>
    </w:p>
    <w:p w14:paraId="03DF678E" w14:textId="77777777" w:rsidR="0035065F" w:rsidRPr="00C069CF" w:rsidRDefault="0035065F" w:rsidP="0035065F">
      <w:pPr>
        <w:spacing w:after="200"/>
        <w:rPr>
          <w:rFonts w:cs="Arial"/>
          <w:color w:val="000000" w:themeColor="text1"/>
          <w:lang w:val="pl-PL"/>
        </w:rPr>
      </w:pPr>
      <w:r w:rsidRPr="00C069CF">
        <w:rPr>
          <w:color w:val="000000" w:themeColor="text1"/>
          <w:lang w:val="pl-PL"/>
        </w:rPr>
        <w:t>W przypadku, gdy rejestracja w punkcie/punktach przyłączenia jest technicznie niemożliwa, właściwy OS decyduje na poziomie programu szczegółowego o innym rozwiązaniu w tym zakresie. Dodatkowo powinien zostać określony szczegółowy zakres dodatkowych wielkości mierzonych, uwzględniający technologię zastosowaną w systemie HVDC.</w:t>
      </w:r>
    </w:p>
    <w:p w14:paraId="2C946A09" w14:textId="339D3CEC" w:rsidR="0035065F" w:rsidRPr="00C069CF" w:rsidRDefault="0035065F" w:rsidP="0035065F">
      <w:pPr>
        <w:spacing w:after="200"/>
        <w:rPr>
          <w:rFonts w:cs="Arial"/>
          <w:color w:val="000000" w:themeColor="text1"/>
          <w:lang w:val="pl-PL"/>
        </w:rPr>
      </w:pPr>
      <w:r w:rsidRPr="00C069CF">
        <w:rPr>
          <w:rFonts w:cs="Arial"/>
          <w:color w:val="000000" w:themeColor="text1"/>
          <w:lang w:val="pl-PL"/>
        </w:rPr>
        <w:lastRenderedPageBreak/>
        <w:t>Układy pomiarowe powinny zapewniać rejestrację mierzonych wielkości z możliwie największą dokładnością, tzn.:</w:t>
      </w:r>
    </w:p>
    <w:p w14:paraId="323704B3" w14:textId="0DA05132" w:rsidR="0035065F" w:rsidRPr="00C069CF" w:rsidRDefault="0035065F" w:rsidP="0035065F">
      <w:pPr>
        <w:pStyle w:val="Akapitzlist"/>
        <w:widowControl w:val="0"/>
        <w:numPr>
          <w:ilvl w:val="0"/>
          <w:numId w:val="43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przyrządy pomiarowe powinny rejestrować prąd i napięcie z rdzeni i uzwojeń pomiarowych przekładników o klasie 0,5 lub wyższej,</w:t>
      </w:r>
    </w:p>
    <w:p w14:paraId="5A57A468" w14:textId="6A24F2DF" w:rsidR="0035065F" w:rsidRPr="00C069CF" w:rsidRDefault="0035065F" w:rsidP="0035065F">
      <w:pPr>
        <w:pStyle w:val="Akapitzlist"/>
        <w:widowControl w:val="0"/>
        <w:numPr>
          <w:ilvl w:val="0"/>
          <w:numId w:val="43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przyrządy pomiarowe powinny posiadać klasę wymaganą dla aparatury klasy A w rozumieniu normy PN-EN 61000-4-30,</w:t>
      </w:r>
    </w:p>
    <w:p w14:paraId="268635BF" w14:textId="6597278D" w:rsidR="0035065F" w:rsidRPr="00C069CF" w:rsidRDefault="0035065F" w:rsidP="00281AB1">
      <w:pPr>
        <w:pStyle w:val="Akapitzlist"/>
        <w:widowControl w:val="0"/>
        <w:numPr>
          <w:ilvl w:val="0"/>
          <w:numId w:val="43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wielkości mierzone powinny być archiwizowane z rozdzielczością czasową co najmniej 1s. Nie przewiduje się zabudowy dodatkowego zewnętrznego urządzenia rejestrującego dane.</w:t>
      </w:r>
    </w:p>
    <w:p w14:paraId="63245DCC" w14:textId="77777777" w:rsidR="0035065F" w:rsidRPr="00C069CF" w:rsidRDefault="0035065F" w:rsidP="00281AB1">
      <w:pPr>
        <w:pStyle w:val="Akapitzlist"/>
        <w:spacing w:before="0" w:after="200"/>
        <w:ind w:left="360"/>
        <w:rPr>
          <w:color w:val="000000" w:themeColor="text1"/>
        </w:rPr>
      </w:pPr>
    </w:p>
    <w:p w14:paraId="6FD541EA" w14:textId="77777777" w:rsidR="0035065F" w:rsidRPr="00C069CF" w:rsidRDefault="0035065F" w:rsidP="00281AB1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9" w:name="_Toc12338942"/>
      <w:r w:rsidRPr="00C069CF">
        <w:rPr>
          <w:color w:val="000000" w:themeColor="text1"/>
        </w:rPr>
        <w:t>Wielkości wejściowe (wymuszające)</w:t>
      </w:r>
      <w:bookmarkEnd w:id="9"/>
      <w:r w:rsidRPr="00C069CF">
        <w:rPr>
          <w:color w:val="000000" w:themeColor="text1"/>
        </w:rPr>
        <w:t xml:space="preserve"> </w:t>
      </w:r>
    </w:p>
    <w:p w14:paraId="4F9D68A1" w14:textId="64C3B776" w:rsidR="0035065F" w:rsidRPr="00C069CF" w:rsidRDefault="0035065F" w:rsidP="0035065F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Podczas realizacji testu do regulatora jednostki przekształtnikowej HVDC lub stacji przekształtnikowej HVDC systemu HVDC należy wprowadzić sygnał symulowanej </w:t>
      </w:r>
      <w:r w:rsidRPr="00C069CF">
        <w:rPr>
          <w:rFonts w:cs="Arial"/>
          <w:i/>
          <w:color w:val="000000" w:themeColor="text1"/>
        </w:rPr>
        <w:t>odchyłki częstotliwości</w:t>
      </w:r>
      <w:r w:rsidRPr="00C069CF">
        <w:rPr>
          <w:rFonts w:cs="Arial"/>
          <w:color w:val="000000" w:themeColor="text1"/>
        </w:rPr>
        <w:t xml:space="preserve"> </w:t>
      </w:r>
      <w:proofErr w:type="spellStart"/>
      <w:r w:rsidRPr="00C069CF">
        <w:rPr>
          <w:rFonts w:cs="Arial"/>
          <w:color w:val="000000" w:themeColor="text1"/>
        </w:rPr>
        <w:t>Δf</w:t>
      </w:r>
      <w:proofErr w:type="spellEnd"/>
      <w:r w:rsidRPr="00C069CF">
        <w:rPr>
          <w:rFonts w:cs="Arial"/>
          <w:color w:val="000000" w:themeColor="text1"/>
        </w:rPr>
        <w:t xml:space="preserve"> lub sygnał symulowanych zmian częstotliwości f. Natomiast punkty pracy systemu HVDC określane będą przez P</w:t>
      </w:r>
      <w:r w:rsidRPr="00C069CF">
        <w:rPr>
          <w:rFonts w:cs="Arial"/>
          <w:color w:val="000000" w:themeColor="text1"/>
          <w:vertAlign w:val="subscript"/>
        </w:rPr>
        <w:t>SP</w:t>
      </w:r>
      <w:r w:rsidRPr="00C069CF">
        <w:rPr>
          <w:rFonts w:cs="Arial"/>
          <w:color w:val="000000" w:themeColor="text1"/>
        </w:rPr>
        <w:t>.</w:t>
      </w:r>
    </w:p>
    <w:p w14:paraId="6268081E" w14:textId="77777777" w:rsidR="0035065F" w:rsidRPr="00C069CF" w:rsidRDefault="0035065F" w:rsidP="0035065F">
      <w:pPr>
        <w:pStyle w:val="Akapitzlist"/>
        <w:rPr>
          <w:rFonts w:cs="Arial"/>
          <w:color w:val="000000" w:themeColor="text1"/>
        </w:rPr>
      </w:pPr>
    </w:p>
    <w:p w14:paraId="4C0C5D0F" w14:textId="77777777" w:rsidR="0035065F" w:rsidRPr="00C069CF" w:rsidRDefault="0035065F" w:rsidP="00281AB1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0" w:name="_Toc12338943"/>
      <w:r w:rsidRPr="00C069CF">
        <w:rPr>
          <w:color w:val="000000" w:themeColor="text1"/>
        </w:rPr>
        <w:t>Wielkości wyjściowe (odpowiedź układu)</w:t>
      </w:r>
      <w:bookmarkEnd w:id="10"/>
    </w:p>
    <w:p w14:paraId="3E492C01" w14:textId="11AD1C76" w:rsidR="0035065F" w:rsidRPr="00C069CF" w:rsidRDefault="0035065F" w:rsidP="0035065F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Wynikiem testu są wartości </w:t>
      </w:r>
      <w:r w:rsidRPr="00C069CF">
        <w:rPr>
          <w:rFonts w:cs="Arial"/>
          <w:i/>
          <w:color w:val="000000" w:themeColor="text1"/>
        </w:rPr>
        <w:t>odpowiedzi częstotliwościowej</w:t>
      </w:r>
      <w:r w:rsidRPr="00C069CF">
        <w:rPr>
          <w:rFonts w:cs="Arial"/>
          <w:color w:val="000000" w:themeColor="text1"/>
        </w:rPr>
        <w:t xml:space="preserve"> </w:t>
      </w:r>
      <w:r w:rsidRPr="00C069CF">
        <w:rPr>
          <w:rFonts w:cs="Arial"/>
          <w:color w:val="000000" w:themeColor="text1"/>
        </w:rPr>
        <w:sym w:font="Symbol" w:char="0044"/>
      </w:r>
      <w:r w:rsidRPr="00C069CF">
        <w:rPr>
          <w:rFonts w:cs="Arial"/>
          <w:color w:val="000000" w:themeColor="text1"/>
        </w:rPr>
        <w:t>P(</w:t>
      </w:r>
      <w:r w:rsidRPr="00C069CF">
        <w:rPr>
          <w:rFonts w:cs="Arial"/>
          <w:color w:val="000000" w:themeColor="text1"/>
        </w:rPr>
        <w:sym w:font="Symbol" w:char="0044"/>
      </w:r>
      <w:r w:rsidRPr="00C069CF">
        <w:rPr>
          <w:rFonts w:cs="Arial"/>
          <w:color w:val="000000" w:themeColor="text1"/>
        </w:rPr>
        <w:t xml:space="preserve">f) systemu HVDC, wyliczone na podstawie wartości mocy czynnej zmierzonych w punktach przyłączenia systemu HVDC (patrz także punkt </w:t>
      </w:r>
      <w:r w:rsidRPr="00C069CF">
        <w:rPr>
          <w:rFonts w:cs="Arial"/>
          <w:color w:val="000000" w:themeColor="text1"/>
        </w:rPr>
        <w:fldChar w:fldCharType="begin"/>
      </w:r>
      <w:r w:rsidRPr="00C069CF">
        <w:rPr>
          <w:rFonts w:cs="Arial"/>
          <w:color w:val="000000" w:themeColor="text1"/>
        </w:rPr>
        <w:instrText xml:space="preserve"> REF _Ref12280222 \r \h </w:instrText>
      </w:r>
      <w:r w:rsidR="00397D60" w:rsidRPr="00C069CF">
        <w:rPr>
          <w:rFonts w:cs="Arial"/>
          <w:color w:val="000000" w:themeColor="text1"/>
        </w:rPr>
        <w:instrText xml:space="preserve"> \* MERGEFORMAT </w:instrText>
      </w:r>
      <w:r w:rsidRPr="00C069CF">
        <w:rPr>
          <w:rFonts w:cs="Arial"/>
          <w:color w:val="000000" w:themeColor="text1"/>
        </w:rPr>
      </w:r>
      <w:r w:rsidRPr="00C069CF">
        <w:rPr>
          <w:rFonts w:cs="Arial"/>
          <w:color w:val="000000" w:themeColor="text1"/>
        </w:rPr>
        <w:fldChar w:fldCharType="separate"/>
      </w:r>
      <w:r w:rsidRPr="00C069CF">
        <w:rPr>
          <w:rFonts w:cs="Arial"/>
          <w:color w:val="000000" w:themeColor="text1"/>
        </w:rPr>
        <w:t>6</w:t>
      </w:r>
      <w:r w:rsidRPr="00C069CF">
        <w:rPr>
          <w:rFonts w:cs="Arial"/>
          <w:color w:val="000000" w:themeColor="text1"/>
        </w:rPr>
        <w:fldChar w:fldCharType="end"/>
      </w:r>
      <w:r w:rsidRPr="00C069CF">
        <w:rPr>
          <w:rFonts w:cs="Arial"/>
          <w:color w:val="000000" w:themeColor="text1"/>
        </w:rPr>
        <w:t>).</w:t>
      </w:r>
    </w:p>
    <w:p w14:paraId="36DCD2B0" w14:textId="77777777" w:rsidR="00E322E3" w:rsidRPr="00C069CF" w:rsidRDefault="00E322E3" w:rsidP="00E322E3">
      <w:pPr>
        <w:spacing w:line="360" w:lineRule="auto"/>
        <w:rPr>
          <w:rFonts w:cs="Arial"/>
          <w:color w:val="000000" w:themeColor="text1"/>
          <w:lang w:val="pl-PL"/>
        </w:rPr>
      </w:pPr>
    </w:p>
    <w:p w14:paraId="279EF4EE" w14:textId="4A5EEB4D" w:rsidR="002C3D00" w:rsidRPr="00C069CF" w:rsidRDefault="002C3D00" w:rsidP="006E3BA3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1" w:name="_Toc12338944"/>
      <w:bookmarkStart w:id="12" w:name="_Toc12338945"/>
      <w:bookmarkStart w:id="13" w:name="_Toc12338946"/>
      <w:bookmarkStart w:id="14" w:name="_Toc12338947"/>
      <w:bookmarkStart w:id="15" w:name="_Toc12338948"/>
      <w:bookmarkStart w:id="16" w:name="_Toc12338949"/>
      <w:bookmarkStart w:id="17" w:name="_Toc12338958"/>
      <w:bookmarkStart w:id="18" w:name="_Toc12338959"/>
      <w:bookmarkStart w:id="19" w:name="_Toc12338960"/>
      <w:bookmarkStart w:id="20" w:name="_Toc12338961"/>
      <w:bookmarkStart w:id="21" w:name="_Toc12338962"/>
      <w:bookmarkStart w:id="22" w:name="_Toc12338963"/>
      <w:bookmarkStart w:id="23" w:name="_Toc12338964"/>
      <w:bookmarkStart w:id="24" w:name="_Toc12338965"/>
      <w:bookmarkStart w:id="25" w:name="_Toc12338966"/>
      <w:bookmarkStart w:id="26" w:name="_Toc12338983"/>
      <w:bookmarkStart w:id="27" w:name="_Toc12338984"/>
      <w:bookmarkStart w:id="28" w:name="_Toc12338985"/>
      <w:bookmarkStart w:id="29" w:name="_Toc12338986"/>
      <w:bookmarkStart w:id="30" w:name="_Toc12338987"/>
      <w:bookmarkStart w:id="31" w:name="_Toc12338988"/>
      <w:bookmarkStart w:id="32" w:name="_Toc12338989"/>
      <w:bookmarkStart w:id="33" w:name="_Toc12338990"/>
      <w:bookmarkStart w:id="34" w:name="_Toc12338991"/>
      <w:bookmarkStart w:id="35" w:name="_Toc12338992"/>
      <w:bookmarkStart w:id="36" w:name="_Toc12338993"/>
      <w:bookmarkStart w:id="37" w:name="_Toc12338994"/>
      <w:bookmarkStart w:id="38" w:name="_Toc12338995"/>
      <w:bookmarkStart w:id="39" w:name="_Toc12338996"/>
      <w:bookmarkStart w:id="40" w:name="_Toc12338997"/>
      <w:bookmarkStart w:id="41" w:name="_Toc12338998"/>
      <w:bookmarkStart w:id="42" w:name="_Toc12338999"/>
      <w:bookmarkStart w:id="43" w:name="_Toc12339000"/>
      <w:bookmarkStart w:id="44" w:name="_Toc12339001"/>
      <w:bookmarkStart w:id="45" w:name="_Toc12339002"/>
      <w:bookmarkStart w:id="46" w:name="_Toc12339003"/>
      <w:bookmarkStart w:id="47" w:name="_Toc1233900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C069CF">
        <w:rPr>
          <w:color w:val="000000" w:themeColor="text1"/>
        </w:rPr>
        <w:t xml:space="preserve">Sposób </w:t>
      </w:r>
      <w:r w:rsidR="006E3BA3" w:rsidRPr="00C069CF">
        <w:rPr>
          <w:color w:val="000000" w:themeColor="text1"/>
        </w:rPr>
        <w:t>i zakres przeprowadzenia testu</w:t>
      </w:r>
      <w:bookmarkEnd w:id="47"/>
    </w:p>
    <w:p w14:paraId="091942F5" w14:textId="103B3B6C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Szczegółowy sposób sprawdzenia zdolności systemu HVDC </w:t>
      </w:r>
      <w:r w:rsidRPr="00C069CF">
        <w:rPr>
          <w:color w:val="000000" w:themeColor="text1"/>
        </w:rPr>
        <w:t>do odpowiedzi częstotliwościowej mocy czynnej w trybie LFSM-U</w:t>
      </w:r>
      <w:r w:rsidRPr="00C069CF">
        <w:rPr>
          <w:rFonts w:cs="Arial"/>
          <w:color w:val="000000" w:themeColor="text1"/>
        </w:rPr>
        <w:t xml:space="preserve"> powinien zostać określony na poziomie programu szczegółowego i obejmować sprawdzenie:</w:t>
      </w:r>
    </w:p>
    <w:p w14:paraId="292A77E3" w14:textId="77777777" w:rsidR="006E3BA3" w:rsidRPr="00C069CF" w:rsidRDefault="006E3BA3" w:rsidP="006E3BA3">
      <w:pPr>
        <w:pStyle w:val="Akapitzlist"/>
        <w:widowControl w:val="0"/>
        <w:numPr>
          <w:ilvl w:val="0"/>
          <w:numId w:val="44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niewrażliwości układu regulacji,</w:t>
      </w:r>
    </w:p>
    <w:p w14:paraId="5D4612DC" w14:textId="1B373133" w:rsidR="006E3BA3" w:rsidRPr="00C069CF" w:rsidRDefault="006E3BA3" w:rsidP="006E3BA3">
      <w:pPr>
        <w:pStyle w:val="Akapitzlist"/>
        <w:widowControl w:val="0"/>
        <w:numPr>
          <w:ilvl w:val="0"/>
          <w:numId w:val="44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odpowiedzi częstotliwościowej mocy czynnej na znaczny spadek częstotliwości,</w:t>
      </w:r>
    </w:p>
    <w:p w14:paraId="644E6221" w14:textId="77777777" w:rsidR="006E3BA3" w:rsidRPr="00C069CF" w:rsidRDefault="006E3BA3" w:rsidP="006E3BA3">
      <w:pPr>
        <w:pStyle w:val="Akapitzlist"/>
        <w:widowControl w:val="0"/>
        <w:numPr>
          <w:ilvl w:val="0"/>
          <w:numId w:val="44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zakresu możliwego nastawiania </w:t>
      </w:r>
      <w:proofErr w:type="spellStart"/>
      <w:r w:rsidRPr="00C069CF">
        <w:rPr>
          <w:rFonts w:cs="Arial"/>
          <w:color w:val="000000" w:themeColor="text1"/>
        </w:rPr>
        <w:t>statyzmu</w:t>
      </w:r>
      <w:proofErr w:type="spellEnd"/>
      <w:r w:rsidRPr="00C069CF">
        <w:rPr>
          <w:rFonts w:cs="Arial"/>
          <w:color w:val="000000" w:themeColor="text1"/>
        </w:rPr>
        <w:t xml:space="preserve"> i strefy nieczułości regulacji.</w:t>
      </w:r>
    </w:p>
    <w:p w14:paraId="2E176E85" w14:textId="663D9672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Poniżej zamieszczono opis minimalnego możliwego podejścia do weryfikacji powyższych cech układu regulacji LFSM-UO systemu HVDC.</w:t>
      </w:r>
    </w:p>
    <w:p w14:paraId="53F7B8AF" w14:textId="25310FF3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Przebieg testu należy udokumentować i przedstawić w sprawozdaniu w postaci wykresów czasowych poszczególnych zmierzonych wielkości oraz – określonych na ich podstawie – wyliczeń i/lub wykresów i/lub zestawień tabelarycznych pozwalających na jednoznaczną ocenę spełnienia lub niespełnienia wymaganych zdolności systemu HVDC do </w:t>
      </w:r>
      <w:r w:rsidRPr="00C069CF">
        <w:rPr>
          <w:color w:val="000000" w:themeColor="text1"/>
        </w:rPr>
        <w:t>odpowiedzi częstotliwościowej mocy czynnej w trybie LFSM-U</w:t>
      </w:r>
      <w:r w:rsidRPr="00C069CF">
        <w:rPr>
          <w:rFonts w:cs="Arial"/>
          <w:color w:val="000000" w:themeColor="text1"/>
        </w:rPr>
        <w:t>.</w:t>
      </w:r>
    </w:p>
    <w:p w14:paraId="6174FFA4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</w:p>
    <w:p w14:paraId="7E69612B" w14:textId="77777777" w:rsidR="006E3BA3" w:rsidRPr="00C069CF" w:rsidRDefault="006E3BA3" w:rsidP="00281AB1">
      <w:pPr>
        <w:pStyle w:val="Nagwek1"/>
        <w:rPr>
          <w:color w:val="000000" w:themeColor="text1"/>
        </w:rPr>
      </w:pPr>
      <w:bookmarkStart w:id="48" w:name="_Toc12308785"/>
      <w:bookmarkStart w:id="49" w:name="_Toc12337142"/>
      <w:bookmarkStart w:id="50" w:name="_Toc12339005"/>
      <w:r w:rsidRPr="00C069CF">
        <w:rPr>
          <w:color w:val="000000" w:themeColor="text1"/>
        </w:rPr>
        <w:t>Określenie niewrażliwości układu regulacji</w:t>
      </w:r>
      <w:bookmarkEnd w:id="48"/>
      <w:bookmarkEnd w:id="49"/>
      <w:bookmarkEnd w:id="50"/>
    </w:p>
    <w:p w14:paraId="2BC1A8E8" w14:textId="7A90BFC4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Próbę należy przeprowadzić przy pracy systemu HVDC z załączonym trybem LFSM-U z wyjściową wartością zadaną częstotliwości </w:t>
      </w:r>
      <w:proofErr w:type="spellStart"/>
      <w:r w:rsidRPr="00C069CF">
        <w:rPr>
          <w:rFonts w:cs="Arial"/>
          <w:color w:val="000000" w:themeColor="text1"/>
        </w:rPr>
        <w:t>f</w:t>
      </w:r>
      <w:r w:rsidRPr="00C069CF">
        <w:rPr>
          <w:rFonts w:cs="Arial"/>
          <w:color w:val="000000" w:themeColor="text1"/>
          <w:vertAlign w:val="subscript"/>
        </w:rPr>
        <w:t>SP</w:t>
      </w:r>
      <w:proofErr w:type="spellEnd"/>
      <w:r w:rsidRPr="00C069CF">
        <w:rPr>
          <w:rFonts w:cs="Arial"/>
          <w:color w:val="000000" w:themeColor="text1"/>
        </w:rPr>
        <w:t xml:space="preserve"> = 50 </w:t>
      </w:r>
      <w:proofErr w:type="spellStart"/>
      <w:r w:rsidRPr="00C069CF">
        <w:rPr>
          <w:rFonts w:cs="Arial"/>
          <w:color w:val="000000" w:themeColor="text1"/>
        </w:rPr>
        <w:t>Hz</w:t>
      </w:r>
      <w:proofErr w:type="spellEnd"/>
      <w:r w:rsidRPr="00C069CF">
        <w:rPr>
          <w:rFonts w:cs="Arial"/>
          <w:color w:val="000000" w:themeColor="text1"/>
        </w:rPr>
        <w:t>, wprowadzając najmniejsz</w:t>
      </w:r>
      <w:r w:rsidR="00823449" w:rsidRPr="00C069CF">
        <w:rPr>
          <w:rFonts w:cs="Arial"/>
          <w:color w:val="000000" w:themeColor="text1"/>
        </w:rPr>
        <w:t>y</w:t>
      </w:r>
      <w:r w:rsidRPr="00C069CF">
        <w:rPr>
          <w:rFonts w:cs="Arial"/>
          <w:color w:val="000000" w:themeColor="text1"/>
        </w:rPr>
        <w:t xml:space="preserve"> możliw</w:t>
      </w:r>
      <w:r w:rsidR="00823449" w:rsidRPr="00C069CF">
        <w:rPr>
          <w:rFonts w:cs="Arial"/>
          <w:color w:val="000000" w:themeColor="text1"/>
        </w:rPr>
        <w:t>y</w:t>
      </w:r>
      <w:r w:rsidRPr="00C069CF">
        <w:rPr>
          <w:rFonts w:cs="Arial"/>
          <w:color w:val="000000" w:themeColor="text1"/>
        </w:rPr>
        <w:t xml:space="preserve"> </w:t>
      </w:r>
      <w:r w:rsidR="00823449" w:rsidRPr="00C069CF">
        <w:rPr>
          <w:rFonts w:cs="Arial"/>
          <w:color w:val="000000" w:themeColor="text1"/>
        </w:rPr>
        <w:t xml:space="preserve">spadek </w:t>
      </w:r>
      <w:r w:rsidRPr="00C069CF">
        <w:rPr>
          <w:rFonts w:cs="Arial"/>
          <w:color w:val="000000" w:themeColor="text1"/>
        </w:rPr>
        <w:t xml:space="preserve">wartości zadanej </w:t>
      </w:r>
      <w:proofErr w:type="spellStart"/>
      <w:r w:rsidRPr="00C069CF">
        <w:rPr>
          <w:rFonts w:cs="Arial"/>
          <w:color w:val="000000" w:themeColor="text1"/>
        </w:rPr>
        <w:t>f</w:t>
      </w:r>
      <w:r w:rsidRPr="00C069CF">
        <w:rPr>
          <w:rFonts w:cs="Arial"/>
          <w:color w:val="000000" w:themeColor="text1"/>
          <w:vertAlign w:val="subscript"/>
        </w:rPr>
        <w:t>SP</w:t>
      </w:r>
      <w:proofErr w:type="spellEnd"/>
      <w:r w:rsidRPr="00C069CF">
        <w:rPr>
          <w:rFonts w:cs="Arial"/>
          <w:color w:val="000000" w:themeColor="text1"/>
        </w:rPr>
        <w:t xml:space="preserve">, przy której </w:t>
      </w:r>
      <w:r w:rsidRPr="00C069CF">
        <w:rPr>
          <w:rFonts w:cs="Arial"/>
          <w:color w:val="000000" w:themeColor="text1"/>
        </w:rPr>
        <w:lastRenderedPageBreak/>
        <w:t>zostanie wykonana zauważalna zmiana wartości mocy czynnej przesyłanej przez system HVDC, w celu określenia niewrażliwości układu regulacji.</w:t>
      </w:r>
    </w:p>
    <w:p w14:paraId="3F79908B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Uwaga: pomiary obserwowanych wielkości i kolejne zmiany wartości zadanej </w:t>
      </w:r>
      <w:proofErr w:type="spellStart"/>
      <w:r w:rsidRPr="00C069CF">
        <w:rPr>
          <w:rFonts w:cs="Arial"/>
          <w:color w:val="000000" w:themeColor="text1"/>
        </w:rPr>
        <w:t>f</w:t>
      </w:r>
      <w:r w:rsidRPr="00C069CF">
        <w:rPr>
          <w:rFonts w:cs="Arial"/>
          <w:color w:val="000000" w:themeColor="text1"/>
          <w:vertAlign w:val="subscript"/>
        </w:rPr>
        <w:t>SP</w:t>
      </w:r>
      <w:proofErr w:type="spellEnd"/>
      <w:r w:rsidRPr="00C069CF">
        <w:rPr>
          <w:rFonts w:cs="Arial"/>
          <w:color w:val="000000" w:themeColor="text1"/>
        </w:rPr>
        <w:t xml:space="preserve"> należy dokonywać po ustabilizowaniu się warunków pracy systemu HVDC i sieci w otoczeniu punktu przyłączenia systemu HVDC – jest to niezbędne do poprawnego określenia badanego parametru układu regulacji systemu HVDC.</w:t>
      </w:r>
    </w:p>
    <w:p w14:paraId="35AAEA2E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</w:p>
    <w:p w14:paraId="78E6BDB3" w14:textId="5CEB9D94" w:rsidR="006E3BA3" w:rsidRPr="00C069CF" w:rsidRDefault="006E3BA3" w:rsidP="004F574C">
      <w:pPr>
        <w:pStyle w:val="Nagwek1"/>
        <w:rPr>
          <w:color w:val="000000" w:themeColor="text1"/>
        </w:rPr>
      </w:pPr>
      <w:bookmarkStart w:id="51" w:name="_Toc12308786"/>
      <w:bookmarkStart w:id="52" w:name="_Toc12337143"/>
      <w:bookmarkStart w:id="53" w:name="_Toc12339006"/>
      <w:r w:rsidRPr="00C069CF">
        <w:rPr>
          <w:color w:val="000000" w:themeColor="text1"/>
        </w:rPr>
        <w:t>Określenie odpowiedzi częstotliwościowej mocy czynnej na znaczy wzrost częstotliwości</w:t>
      </w:r>
      <w:bookmarkEnd w:id="51"/>
      <w:bookmarkEnd w:id="52"/>
      <w:bookmarkEnd w:id="53"/>
    </w:p>
    <w:p w14:paraId="046DF6FA" w14:textId="77777777" w:rsidR="00630551" w:rsidRPr="00C069CF" w:rsidRDefault="006E3BA3" w:rsidP="006E3BA3">
      <w:pPr>
        <w:pStyle w:val="Akapitzlist"/>
        <w:rPr>
          <w:color w:val="000000" w:themeColor="text1"/>
        </w:rPr>
      </w:pPr>
      <w:r w:rsidRPr="00C069CF">
        <w:rPr>
          <w:rFonts w:cs="Arial"/>
          <w:color w:val="000000" w:themeColor="text1"/>
        </w:rPr>
        <w:t>Próbę należy przeprowadzić przy pracy systemu HVDC z załączonym trybem LFSM-</w:t>
      </w:r>
      <w:r w:rsidR="00070917" w:rsidRPr="00C069CF">
        <w:rPr>
          <w:rFonts w:cs="Arial"/>
          <w:color w:val="000000" w:themeColor="text1"/>
        </w:rPr>
        <w:t>U</w:t>
      </w:r>
      <w:r w:rsidRPr="00C069CF">
        <w:rPr>
          <w:rFonts w:cs="Arial"/>
          <w:color w:val="000000" w:themeColor="text1"/>
        </w:rPr>
        <w:t xml:space="preserve"> z wyjściową wartością zadaną mocy czynnej P</w:t>
      </w:r>
      <w:r w:rsidRPr="00C069CF">
        <w:rPr>
          <w:rFonts w:cs="Arial"/>
          <w:color w:val="000000" w:themeColor="text1"/>
          <w:vertAlign w:val="subscript"/>
        </w:rPr>
        <w:t>SP</w:t>
      </w:r>
      <w:r w:rsidRPr="00C069CF">
        <w:rPr>
          <w:rFonts w:cs="Arial"/>
          <w:color w:val="000000" w:themeColor="text1"/>
        </w:rPr>
        <w:t xml:space="preserve"> = </w:t>
      </w:r>
      <w:proofErr w:type="spellStart"/>
      <w:r w:rsidRPr="00C069CF">
        <w:rPr>
          <w:rFonts w:cs="Arial"/>
          <w:color w:val="000000" w:themeColor="text1"/>
        </w:rPr>
        <w:t>P</w:t>
      </w:r>
      <w:r w:rsidRPr="00C069CF">
        <w:rPr>
          <w:rFonts w:cs="Arial"/>
          <w:color w:val="000000" w:themeColor="text1"/>
          <w:vertAlign w:val="subscript"/>
        </w:rPr>
        <w:t>min</w:t>
      </w:r>
      <w:proofErr w:type="spellEnd"/>
      <w:r w:rsidRPr="00C069CF">
        <w:rPr>
          <w:rFonts w:cs="Arial"/>
          <w:color w:val="000000" w:themeColor="text1"/>
        </w:rPr>
        <w:t xml:space="preserve"> + (</w:t>
      </w:r>
      <w:proofErr w:type="spellStart"/>
      <w:r w:rsidRPr="00C069CF">
        <w:rPr>
          <w:rFonts w:cs="Arial"/>
          <w:color w:val="000000" w:themeColor="text1"/>
        </w:rPr>
        <w:t>P</w:t>
      </w:r>
      <w:r w:rsidRPr="00C069CF">
        <w:rPr>
          <w:rFonts w:cs="Arial"/>
          <w:color w:val="000000" w:themeColor="text1"/>
          <w:vertAlign w:val="subscript"/>
        </w:rPr>
        <w:t>max</w:t>
      </w:r>
      <w:proofErr w:type="spellEnd"/>
      <w:r w:rsidRPr="00C069CF">
        <w:rPr>
          <w:rFonts w:cs="Arial"/>
          <w:color w:val="000000" w:themeColor="text1"/>
        </w:rPr>
        <w:t xml:space="preserve"> – </w:t>
      </w:r>
      <w:proofErr w:type="spellStart"/>
      <w:proofErr w:type="gramStart"/>
      <w:r w:rsidRPr="00C069CF">
        <w:rPr>
          <w:rFonts w:cs="Arial"/>
          <w:color w:val="000000" w:themeColor="text1"/>
        </w:rPr>
        <w:t>P</w:t>
      </w:r>
      <w:r w:rsidRPr="00C069CF">
        <w:rPr>
          <w:rFonts w:cs="Arial"/>
          <w:color w:val="000000" w:themeColor="text1"/>
          <w:vertAlign w:val="subscript"/>
        </w:rPr>
        <w:t>min</w:t>
      </w:r>
      <w:proofErr w:type="spellEnd"/>
      <w:r w:rsidRPr="00C069CF">
        <w:rPr>
          <w:rFonts w:cs="Arial"/>
          <w:color w:val="000000" w:themeColor="text1"/>
        </w:rPr>
        <w:t>)/</w:t>
      </w:r>
      <w:proofErr w:type="gramEnd"/>
      <w:r w:rsidRPr="00C069CF">
        <w:rPr>
          <w:rFonts w:cs="Arial"/>
          <w:color w:val="000000" w:themeColor="text1"/>
        </w:rPr>
        <w:t xml:space="preserve">2, </w:t>
      </w:r>
      <w:r w:rsidR="00630551" w:rsidRPr="00C069CF">
        <w:rPr>
          <w:color w:val="000000" w:themeColor="text1"/>
        </w:rPr>
        <w:t xml:space="preserve">wprowadzając odchyłkę częstotliwości: </w:t>
      </w:r>
    </w:p>
    <w:p w14:paraId="63698AFB" w14:textId="77777777" w:rsidR="00630551" w:rsidRPr="00C069CF" w:rsidRDefault="00630551" w:rsidP="006E3BA3">
      <w:pPr>
        <w:pStyle w:val="Akapitzlist"/>
        <w:rPr>
          <w:color w:val="000000" w:themeColor="text1"/>
        </w:rPr>
      </w:pPr>
      <w:r w:rsidRPr="00C069CF">
        <w:rPr>
          <w:color w:val="000000" w:themeColor="text1"/>
        </w:rPr>
        <w:t xml:space="preserve">a) </w:t>
      </w:r>
      <w:proofErr w:type="spellStart"/>
      <w:r w:rsidRPr="00C069CF">
        <w:rPr>
          <w:rFonts w:cs="Arial"/>
          <w:color w:val="000000" w:themeColor="text1"/>
        </w:rPr>
        <w:t>Δ</w:t>
      </w:r>
      <w:r w:rsidRPr="00C069CF">
        <w:rPr>
          <w:color w:val="000000" w:themeColor="text1"/>
        </w:rPr>
        <w:t>f</w:t>
      </w:r>
      <w:proofErr w:type="spellEnd"/>
      <w:r w:rsidRPr="00C069CF">
        <w:rPr>
          <w:color w:val="000000" w:themeColor="text1"/>
        </w:rPr>
        <w:t xml:space="preserve"> = </w:t>
      </w:r>
      <w:r w:rsidRPr="00C069CF">
        <w:rPr>
          <w:rFonts w:cs="Arial"/>
          <w:color w:val="000000" w:themeColor="text1"/>
        </w:rPr>
        <w:t>–</w:t>
      </w:r>
      <w:r w:rsidRPr="00C069CF">
        <w:rPr>
          <w:color w:val="000000" w:themeColor="text1"/>
        </w:rPr>
        <w:t xml:space="preserve"> 0,5 </w:t>
      </w:r>
      <w:proofErr w:type="spellStart"/>
      <w:r w:rsidRPr="00C069CF">
        <w:rPr>
          <w:color w:val="000000" w:themeColor="text1"/>
        </w:rPr>
        <w:t>Hz</w:t>
      </w:r>
      <w:proofErr w:type="spellEnd"/>
      <w:r w:rsidRPr="00C069CF">
        <w:rPr>
          <w:color w:val="000000" w:themeColor="text1"/>
        </w:rPr>
        <w:t xml:space="preserve">, </w:t>
      </w:r>
    </w:p>
    <w:p w14:paraId="1B395F50" w14:textId="77777777" w:rsidR="00630551" w:rsidRPr="00C069CF" w:rsidRDefault="00630551" w:rsidP="006E3BA3">
      <w:pPr>
        <w:pStyle w:val="Akapitzlist"/>
        <w:rPr>
          <w:color w:val="000000" w:themeColor="text1"/>
        </w:rPr>
      </w:pPr>
      <w:r w:rsidRPr="00C069CF">
        <w:rPr>
          <w:color w:val="000000" w:themeColor="text1"/>
        </w:rPr>
        <w:t xml:space="preserve">b) </w:t>
      </w:r>
      <w:proofErr w:type="spellStart"/>
      <w:r w:rsidRPr="00C069CF">
        <w:rPr>
          <w:rFonts w:cs="Arial"/>
          <w:color w:val="000000" w:themeColor="text1"/>
        </w:rPr>
        <w:t>Δ</w:t>
      </w:r>
      <w:r w:rsidRPr="00C069CF">
        <w:rPr>
          <w:color w:val="000000" w:themeColor="text1"/>
        </w:rPr>
        <w:t>f</w:t>
      </w:r>
      <w:proofErr w:type="spellEnd"/>
      <w:r w:rsidRPr="00C069CF">
        <w:rPr>
          <w:color w:val="000000" w:themeColor="text1"/>
        </w:rPr>
        <w:t xml:space="preserve"> = </w:t>
      </w:r>
      <w:r w:rsidRPr="00C069CF">
        <w:rPr>
          <w:rFonts w:cs="Arial"/>
          <w:color w:val="000000" w:themeColor="text1"/>
        </w:rPr>
        <w:t>–</w:t>
      </w:r>
      <w:r w:rsidRPr="00C069CF">
        <w:rPr>
          <w:color w:val="000000" w:themeColor="text1"/>
        </w:rPr>
        <w:t xml:space="preserve"> 1,0 </w:t>
      </w:r>
      <w:proofErr w:type="spellStart"/>
      <w:r w:rsidRPr="00C069CF">
        <w:rPr>
          <w:color w:val="000000" w:themeColor="text1"/>
        </w:rPr>
        <w:t>Hz</w:t>
      </w:r>
      <w:proofErr w:type="spellEnd"/>
      <w:r w:rsidRPr="00C069CF">
        <w:rPr>
          <w:color w:val="000000" w:themeColor="text1"/>
        </w:rPr>
        <w:t xml:space="preserve">, </w:t>
      </w:r>
    </w:p>
    <w:p w14:paraId="54FD4EE0" w14:textId="77777777" w:rsidR="00630551" w:rsidRPr="00C069CF" w:rsidRDefault="00630551" w:rsidP="006E3BA3">
      <w:pPr>
        <w:pStyle w:val="Akapitzlist"/>
        <w:rPr>
          <w:color w:val="000000" w:themeColor="text1"/>
        </w:rPr>
      </w:pPr>
      <w:r w:rsidRPr="00C069CF">
        <w:rPr>
          <w:color w:val="000000" w:themeColor="text1"/>
        </w:rPr>
        <w:t xml:space="preserve">c) </w:t>
      </w:r>
      <w:proofErr w:type="spellStart"/>
      <w:r w:rsidRPr="00C069CF">
        <w:rPr>
          <w:rFonts w:cs="Arial"/>
          <w:color w:val="000000" w:themeColor="text1"/>
        </w:rPr>
        <w:t>Δ</w:t>
      </w:r>
      <w:r w:rsidRPr="00C069CF">
        <w:rPr>
          <w:color w:val="000000" w:themeColor="text1"/>
        </w:rPr>
        <w:t>f</w:t>
      </w:r>
      <w:proofErr w:type="spellEnd"/>
      <w:r w:rsidRPr="00C069CF">
        <w:rPr>
          <w:color w:val="000000" w:themeColor="text1"/>
        </w:rPr>
        <w:t xml:space="preserve"> = </w:t>
      </w:r>
      <w:r w:rsidRPr="00C069CF">
        <w:rPr>
          <w:rFonts w:cs="Arial"/>
          <w:color w:val="000000" w:themeColor="text1"/>
        </w:rPr>
        <w:t>–</w:t>
      </w:r>
      <w:r w:rsidRPr="00C069CF">
        <w:rPr>
          <w:color w:val="000000" w:themeColor="text1"/>
        </w:rPr>
        <w:t xml:space="preserve"> 1,5 </w:t>
      </w:r>
      <w:proofErr w:type="spellStart"/>
      <w:r w:rsidRPr="00C069CF">
        <w:rPr>
          <w:color w:val="000000" w:themeColor="text1"/>
        </w:rPr>
        <w:t>Hz</w:t>
      </w:r>
      <w:proofErr w:type="spellEnd"/>
      <w:r w:rsidRPr="00C069CF">
        <w:rPr>
          <w:color w:val="000000" w:themeColor="text1"/>
        </w:rPr>
        <w:t xml:space="preserve">, </w:t>
      </w:r>
    </w:p>
    <w:p w14:paraId="43ED1ED6" w14:textId="77777777" w:rsidR="00630551" w:rsidRPr="00C069CF" w:rsidRDefault="00630551" w:rsidP="006E3BA3">
      <w:pPr>
        <w:pStyle w:val="Akapitzlist"/>
        <w:rPr>
          <w:color w:val="000000" w:themeColor="text1"/>
        </w:rPr>
      </w:pPr>
      <w:r w:rsidRPr="00C069CF">
        <w:rPr>
          <w:color w:val="000000" w:themeColor="text1"/>
        </w:rPr>
        <w:t xml:space="preserve">d) </w:t>
      </w:r>
      <w:proofErr w:type="spellStart"/>
      <w:r w:rsidRPr="00C069CF">
        <w:rPr>
          <w:rFonts w:cs="Arial"/>
          <w:color w:val="000000" w:themeColor="text1"/>
        </w:rPr>
        <w:t>Δ</w:t>
      </w:r>
      <w:r w:rsidRPr="00C069CF">
        <w:rPr>
          <w:color w:val="000000" w:themeColor="text1"/>
        </w:rPr>
        <w:t>f</w:t>
      </w:r>
      <w:proofErr w:type="spellEnd"/>
      <w:r w:rsidRPr="00C069CF">
        <w:rPr>
          <w:color w:val="000000" w:themeColor="text1"/>
        </w:rPr>
        <w:t xml:space="preserve"> = </w:t>
      </w:r>
      <w:r w:rsidRPr="00C069CF">
        <w:rPr>
          <w:rFonts w:cs="Arial"/>
          <w:color w:val="000000" w:themeColor="text1"/>
        </w:rPr>
        <w:t>–</w:t>
      </w:r>
      <w:r w:rsidRPr="00C069CF">
        <w:rPr>
          <w:color w:val="000000" w:themeColor="text1"/>
        </w:rPr>
        <w:t xml:space="preserve"> 2,0 </w:t>
      </w:r>
      <w:proofErr w:type="spellStart"/>
      <w:r w:rsidRPr="00C069CF">
        <w:rPr>
          <w:color w:val="000000" w:themeColor="text1"/>
        </w:rPr>
        <w:t>Hz</w:t>
      </w:r>
      <w:proofErr w:type="spellEnd"/>
      <w:r w:rsidRPr="00C069CF">
        <w:rPr>
          <w:color w:val="000000" w:themeColor="text1"/>
        </w:rPr>
        <w:t xml:space="preserve"> </w:t>
      </w:r>
    </w:p>
    <w:p w14:paraId="2917F965" w14:textId="77777777" w:rsidR="00630551" w:rsidRPr="00C069CF" w:rsidRDefault="00630551" w:rsidP="006E3BA3">
      <w:pPr>
        <w:pStyle w:val="Akapitzlist"/>
        <w:rPr>
          <w:color w:val="000000" w:themeColor="text1"/>
        </w:rPr>
      </w:pPr>
      <w:r w:rsidRPr="00C069CF">
        <w:rPr>
          <w:color w:val="000000" w:themeColor="text1"/>
        </w:rPr>
        <w:t xml:space="preserve">e) </w:t>
      </w:r>
      <w:proofErr w:type="spellStart"/>
      <w:r w:rsidRPr="00C069CF">
        <w:rPr>
          <w:rFonts w:cs="Arial"/>
          <w:color w:val="000000" w:themeColor="text1"/>
        </w:rPr>
        <w:t>Δ</w:t>
      </w:r>
      <w:r w:rsidRPr="00C069CF">
        <w:rPr>
          <w:color w:val="000000" w:themeColor="text1"/>
        </w:rPr>
        <w:t>f</w:t>
      </w:r>
      <w:proofErr w:type="spellEnd"/>
      <w:r w:rsidRPr="00C069CF">
        <w:rPr>
          <w:color w:val="000000" w:themeColor="text1"/>
        </w:rPr>
        <w:t xml:space="preserve"> = </w:t>
      </w:r>
      <w:r w:rsidRPr="00C069CF">
        <w:rPr>
          <w:rFonts w:cs="Arial"/>
          <w:color w:val="000000" w:themeColor="text1"/>
        </w:rPr>
        <w:t>–</w:t>
      </w:r>
      <w:r w:rsidRPr="00C069CF">
        <w:rPr>
          <w:color w:val="000000" w:themeColor="text1"/>
        </w:rPr>
        <w:t xml:space="preserve"> 2,5 </w:t>
      </w:r>
      <w:proofErr w:type="spellStart"/>
      <w:r w:rsidRPr="00C069CF">
        <w:rPr>
          <w:color w:val="000000" w:themeColor="text1"/>
        </w:rPr>
        <w:t>Hz</w:t>
      </w:r>
      <w:proofErr w:type="spellEnd"/>
      <w:r w:rsidRPr="00C069CF">
        <w:rPr>
          <w:color w:val="000000" w:themeColor="text1"/>
        </w:rPr>
        <w:t xml:space="preserve">, </w:t>
      </w:r>
    </w:p>
    <w:p w14:paraId="470877CF" w14:textId="5D413195" w:rsidR="006E3BA3" w:rsidRPr="00C069CF" w:rsidRDefault="00630551" w:rsidP="006E3BA3">
      <w:pPr>
        <w:pStyle w:val="Akapitzlist"/>
        <w:rPr>
          <w:rFonts w:cs="Arial"/>
          <w:color w:val="000000" w:themeColor="text1"/>
        </w:rPr>
      </w:pPr>
      <w:r w:rsidRPr="00C069CF">
        <w:rPr>
          <w:color w:val="000000" w:themeColor="text1"/>
        </w:rPr>
        <w:t xml:space="preserve">w zakresie zmian poziomu mocy czynnej przesyłanej przez system HVDC w granicach </w:t>
      </w:r>
      <w:proofErr w:type="spellStart"/>
      <w:r w:rsidRPr="00C069CF">
        <w:rPr>
          <w:color w:val="000000" w:themeColor="text1"/>
        </w:rPr>
        <w:t>P</w:t>
      </w:r>
      <w:r w:rsidRPr="00C069CF">
        <w:rPr>
          <w:color w:val="000000" w:themeColor="text1"/>
          <w:vertAlign w:val="subscript"/>
        </w:rPr>
        <w:t>min</w:t>
      </w:r>
      <w:proofErr w:type="spellEnd"/>
      <w:r w:rsidRPr="00C069CF">
        <w:rPr>
          <w:color w:val="000000" w:themeColor="text1"/>
        </w:rPr>
        <w:t xml:space="preserve"> i </w:t>
      </w:r>
      <w:proofErr w:type="spellStart"/>
      <w:r w:rsidRPr="00C069CF">
        <w:rPr>
          <w:color w:val="000000" w:themeColor="text1"/>
        </w:rPr>
        <w:t>P</w:t>
      </w:r>
      <w:r w:rsidRPr="00C069CF">
        <w:rPr>
          <w:color w:val="000000" w:themeColor="text1"/>
          <w:vertAlign w:val="subscript"/>
        </w:rPr>
        <w:t>max</w:t>
      </w:r>
      <w:proofErr w:type="spellEnd"/>
      <w:r w:rsidRPr="00C069CF">
        <w:rPr>
          <w:color w:val="000000" w:themeColor="text1"/>
        </w:rPr>
        <w:t xml:space="preserve"> (zależnie od kierunku przesyłania mocy czynnej przez system HVDC).</w:t>
      </w:r>
    </w:p>
    <w:p w14:paraId="2AE91CBD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Przedmiotowy test należy przeprowadzić dla wszystkich kierunków przesyłania mocy czynnej przez system HVDC, uzgodnionych z właściwymi OS w programie szczegółowym.</w:t>
      </w:r>
    </w:p>
    <w:p w14:paraId="4C003EA6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b/>
          <w:color w:val="000000" w:themeColor="text1"/>
        </w:rPr>
        <w:t>Uwaga</w:t>
      </w:r>
      <w:r w:rsidRPr="00C069CF">
        <w:rPr>
          <w:rFonts w:cs="Arial"/>
          <w:color w:val="000000" w:themeColor="text1"/>
        </w:rPr>
        <w:t>: pomiary obserwowanych wielkości należy dokonywać po ustabilizowaniu się warunków pracy systemu HVDC i sieci w otoczeniu punktu przyłączenia systemu HVDC – jest to niezbędne do poprawnego określenia badanego parametru układu regulacji systemu HVDC.</w:t>
      </w:r>
    </w:p>
    <w:p w14:paraId="407044CA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</w:p>
    <w:p w14:paraId="2E0BD519" w14:textId="77777777" w:rsidR="006E3BA3" w:rsidRPr="00C069CF" w:rsidRDefault="006E3BA3" w:rsidP="004F574C">
      <w:pPr>
        <w:pStyle w:val="Nagwek1"/>
        <w:rPr>
          <w:color w:val="000000" w:themeColor="text1"/>
        </w:rPr>
      </w:pPr>
      <w:bookmarkStart w:id="54" w:name="_Toc12308787"/>
      <w:bookmarkStart w:id="55" w:name="_Toc12337144"/>
      <w:bookmarkStart w:id="56" w:name="_Toc12339007"/>
      <w:r w:rsidRPr="00C069CF">
        <w:rPr>
          <w:color w:val="000000" w:themeColor="text1"/>
        </w:rPr>
        <w:t xml:space="preserve">Określenie zakresu możliwego nastawiania </w:t>
      </w:r>
      <w:proofErr w:type="spellStart"/>
      <w:r w:rsidRPr="00C069CF">
        <w:rPr>
          <w:color w:val="000000" w:themeColor="text1"/>
        </w:rPr>
        <w:t>statyzmu</w:t>
      </w:r>
      <w:proofErr w:type="spellEnd"/>
      <w:r w:rsidRPr="00C069CF">
        <w:rPr>
          <w:color w:val="000000" w:themeColor="text1"/>
        </w:rPr>
        <w:t xml:space="preserve"> i strefy nieczułości układu regulacji</w:t>
      </w:r>
      <w:bookmarkEnd w:id="54"/>
      <w:bookmarkEnd w:id="55"/>
      <w:bookmarkEnd w:id="56"/>
    </w:p>
    <w:p w14:paraId="16FAE026" w14:textId="6DB91CA3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 xml:space="preserve">Weryfikację możliwości nastawczych </w:t>
      </w:r>
      <w:proofErr w:type="spellStart"/>
      <w:r w:rsidRPr="00C069CF">
        <w:rPr>
          <w:rFonts w:cs="Arial"/>
          <w:color w:val="000000" w:themeColor="text1"/>
        </w:rPr>
        <w:t>statyzmu</w:t>
      </w:r>
      <w:proofErr w:type="spellEnd"/>
      <w:r w:rsidRPr="00C069CF">
        <w:rPr>
          <w:rFonts w:cs="Arial"/>
          <w:color w:val="000000" w:themeColor="text1"/>
        </w:rPr>
        <w:t xml:space="preserve"> i strefy nieczułości dla trybu LFSM-</w:t>
      </w:r>
      <w:r w:rsidR="00070917" w:rsidRPr="00C069CF">
        <w:rPr>
          <w:rFonts w:cs="Arial"/>
          <w:color w:val="000000" w:themeColor="text1"/>
        </w:rPr>
        <w:t>U</w:t>
      </w:r>
      <w:r w:rsidRPr="00C069CF">
        <w:rPr>
          <w:rFonts w:cs="Arial"/>
          <w:color w:val="000000" w:themeColor="text1"/>
        </w:rPr>
        <w:t xml:space="preserve"> systemu HVDC należy przeprowadzić, porównując parametry techniczne układu regulacji LFSM-O z uzgodnionymi lub postanowionymi parametrami charakterystyki statycznej w zakresie tego trybu regulacji mocy czynnej, w ograniczeniu do:</w:t>
      </w:r>
    </w:p>
    <w:p w14:paraId="3175D0E5" w14:textId="2F8D018A" w:rsidR="006E3BA3" w:rsidRPr="00C069CF" w:rsidRDefault="006E3BA3" w:rsidP="006E3BA3">
      <w:pPr>
        <w:pStyle w:val="Akapitzlist"/>
        <w:widowControl w:val="0"/>
        <w:numPr>
          <w:ilvl w:val="0"/>
          <w:numId w:val="46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proofErr w:type="spellStart"/>
      <w:r w:rsidRPr="00C069CF">
        <w:rPr>
          <w:rFonts w:cs="Arial"/>
          <w:color w:val="000000" w:themeColor="text1"/>
        </w:rPr>
        <w:t>statyzmu</w:t>
      </w:r>
      <w:proofErr w:type="spellEnd"/>
      <w:r w:rsidRPr="00C069CF">
        <w:rPr>
          <w:rFonts w:cs="Arial"/>
          <w:color w:val="000000" w:themeColor="text1"/>
        </w:rPr>
        <w:t xml:space="preserve"> s</w:t>
      </w:r>
      <w:r w:rsidR="00070917" w:rsidRPr="00C069CF">
        <w:rPr>
          <w:rFonts w:cs="Arial"/>
          <w:color w:val="000000" w:themeColor="text1"/>
        </w:rPr>
        <w:t>4</w:t>
      </w:r>
      <w:r w:rsidRPr="00C069CF">
        <w:rPr>
          <w:rFonts w:cs="Arial"/>
          <w:color w:val="000000" w:themeColor="text1"/>
        </w:rPr>
        <w:t>,</w:t>
      </w:r>
    </w:p>
    <w:p w14:paraId="0FDBB8C9" w14:textId="359C77F3" w:rsidR="006E3BA3" w:rsidRPr="00C069CF" w:rsidRDefault="006E3BA3" w:rsidP="006E3BA3">
      <w:pPr>
        <w:pStyle w:val="Akapitzlist"/>
        <w:widowControl w:val="0"/>
        <w:numPr>
          <w:ilvl w:val="0"/>
          <w:numId w:val="46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częstotliwości f</w:t>
      </w:r>
      <w:r w:rsidR="00070917" w:rsidRPr="00C069CF">
        <w:rPr>
          <w:rFonts w:cs="Arial"/>
          <w:color w:val="000000" w:themeColor="text1"/>
          <w:vertAlign w:val="subscript"/>
        </w:rPr>
        <w:t>2</w:t>
      </w:r>
      <w:r w:rsidRPr="00C069CF">
        <w:rPr>
          <w:rFonts w:cs="Arial"/>
          <w:color w:val="000000" w:themeColor="text1"/>
        </w:rPr>
        <w:t xml:space="preserve"> (próg uruchomienia regulacji).</w:t>
      </w:r>
    </w:p>
    <w:p w14:paraId="7B4CB774" w14:textId="77777777" w:rsidR="006E3BA3" w:rsidRPr="00C069CF" w:rsidRDefault="006E3BA3" w:rsidP="006E3BA3">
      <w:pPr>
        <w:pStyle w:val="Akapitzlist"/>
        <w:rPr>
          <w:rFonts w:cs="Arial"/>
          <w:color w:val="000000" w:themeColor="text1"/>
        </w:rPr>
      </w:pPr>
      <w:r w:rsidRPr="00C069CF">
        <w:rPr>
          <w:rFonts w:cs="Arial"/>
          <w:color w:val="000000" w:themeColor="text1"/>
        </w:rPr>
        <w:t>Uwaga: Test może zostać zastąpiony dedykowanym certyfikatem sprzętu, wydanym przez certyfikowany w tym zakresie podmiot certyfikujący.</w:t>
      </w:r>
    </w:p>
    <w:p w14:paraId="4926E56F" w14:textId="77777777" w:rsidR="006E3BA3" w:rsidRPr="00C069CF" w:rsidRDefault="006E3BA3" w:rsidP="006E3BA3">
      <w:pPr>
        <w:pStyle w:val="Akapitzlist"/>
        <w:spacing w:before="0" w:after="200"/>
        <w:ind w:left="360"/>
        <w:rPr>
          <w:rFonts w:cs="Arial"/>
          <w:color w:val="000000" w:themeColor="text1"/>
        </w:rPr>
      </w:pPr>
      <w:bookmarkStart w:id="57" w:name="_Toc523905231"/>
      <w:bookmarkStart w:id="58" w:name="_Toc523918384"/>
      <w:bookmarkStart w:id="59" w:name="_Toc523905232"/>
      <w:bookmarkStart w:id="60" w:name="_Toc523918385"/>
      <w:bookmarkStart w:id="61" w:name="_Toc523471243"/>
      <w:bookmarkStart w:id="62" w:name="_Toc523471328"/>
      <w:bookmarkStart w:id="63" w:name="_Toc523471883"/>
      <w:bookmarkEnd w:id="57"/>
      <w:bookmarkEnd w:id="58"/>
      <w:bookmarkEnd w:id="59"/>
      <w:bookmarkEnd w:id="60"/>
      <w:bookmarkEnd w:id="61"/>
      <w:bookmarkEnd w:id="62"/>
      <w:bookmarkEnd w:id="63"/>
    </w:p>
    <w:p w14:paraId="71B6C7B1" w14:textId="6DEEEB15" w:rsidR="00EA33B0" w:rsidRPr="00C069CF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64" w:name="_Toc12339008"/>
      <w:bookmarkStart w:id="65" w:name="_Toc12339009"/>
      <w:bookmarkStart w:id="66" w:name="_Toc12339010"/>
      <w:bookmarkStart w:id="67" w:name="_Toc12339011"/>
      <w:bookmarkStart w:id="68" w:name="_Toc12339012"/>
      <w:bookmarkStart w:id="69" w:name="_Toc12339013"/>
      <w:bookmarkStart w:id="70" w:name="_Toc12339014"/>
      <w:bookmarkStart w:id="71" w:name="_Toc12339015"/>
      <w:bookmarkStart w:id="72" w:name="_Toc12339016"/>
      <w:bookmarkStart w:id="73" w:name="_Toc12339017"/>
      <w:bookmarkStart w:id="74" w:name="_Toc12339018"/>
      <w:bookmarkStart w:id="75" w:name="_Toc12339019"/>
      <w:bookmarkStart w:id="76" w:name="_Toc12339020"/>
      <w:bookmarkStart w:id="77" w:name="_Toc12339021"/>
      <w:bookmarkStart w:id="78" w:name="_Toc12339022"/>
      <w:bookmarkStart w:id="79" w:name="_Toc12339023"/>
      <w:bookmarkStart w:id="80" w:name="_Toc12339024"/>
      <w:bookmarkStart w:id="81" w:name="_Toc12339025"/>
      <w:bookmarkStart w:id="82" w:name="_Toc12339026"/>
      <w:bookmarkStart w:id="83" w:name="_Toc12339027"/>
      <w:bookmarkStart w:id="84" w:name="_Toc12339028"/>
      <w:bookmarkStart w:id="85" w:name="_Toc12339029"/>
      <w:bookmarkStart w:id="86" w:name="_Toc12339030"/>
      <w:bookmarkStart w:id="87" w:name="_Toc12339031"/>
      <w:bookmarkStart w:id="88" w:name="_Toc12339032"/>
      <w:bookmarkStart w:id="89" w:name="_Toc12339033"/>
      <w:bookmarkStart w:id="90" w:name="_Toc12339034"/>
      <w:bookmarkStart w:id="91" w:name="_Toc12339035"/>
      <w:bookmarkStart w:id="92" w:name="_Toc12339036"/>
      <w:bookmarkStart w:id="93" w:name="_Toc12339037"/>
      <w:bookmarkStart w:id="94" w:name="_Toc12339038"/>
      <w:bookmarkStart w:id="95" w:name="_Toc12339039"/>
      <w:bookmarkStart w:id="96" w:name="_Toc12339040"/>
      <w:bookmarkStart w:id="97" w:name="_Toc12339041"/>
      <w:bookmarkStart w:id="98" w:name="_Toc12339042"/>
      <w:bookmarkStart w:id="99" w:name="_Toc12339043"/>
      <w:bookmarkStart w:id="100" w:name="_Toc12339044"/>
      <w:bookmarkStart w:id="101" w:name="_Toc12339045"/>
      <w:bookmarkStart w:id="102" w:name="_Toc12339046"/>
      <w:bookmarkStart w:id="103" w:name="_Toc12339047"/>
      <w:bookmarkStart w:id="104" w:name="_Toc12339048"/>
      <w:bookmarkStart w:id="105" w:name="_Toc12339049"/>
      <w:bookmarkStart w:id="106" w:name="_Toc12339050"/>
      <w:bookmarkStart w:id="107" w:name="_Toc12339051"/>
      <w:bookmarkStart w:id="108" w:name="_Toc12339052"/>
      <w:bookmarkStart w:id="109" w:name="_Toc12339053"/>
      <w:bookmarkStart w:id="110" w:name="_Toc12339054"/>
      <w:bookmarkStart w:id="111" w:name="_Toc12339055"/>
      <w:bookmarkStart w:id="112" w:name="_Toc12339056"/>
      <w:bookmarkStart w:id="113" w:name="_Toc12339057"/>
      <w:bookmarkStart w:id="114" w:name="_Toc12339058"/>
      <w:bookmarkStart w:id="115" w:name="_Toc12339059"/>
      <w:bookmarkStart w:id="116" w:name="_Toc12339060"/>
      <w:bookmarkStart w:id="117" w:name="_Toc12339061"/>
      <w:bookmarkStart w:id="118" w:name="_Toc12339062"/>
      <w:bookmarkStart w:id="119" w:name="_Toc12339063"/>
      <w:bookmarkStart w:id="120" w:name="_Toc12339064"/>
      <w:bookmarkStart w:id="121" w:name="_Toc12339065"/>
      <w:bookmarkStart w:id="122" w:name="_Toc12339066"/>
      <w:bookmarkStart w:id="123" w:name="_Toc12339067"/>
      <w:bookmarkStart w:id="124" w:name="_Toc12339068"/>
      <w:bookmarkStart w:id="125" w:name="_Toc12339069"/>
      <w:bookmarkStart w:id="126" w:name="_Toc12339070"/>
      <w:bookmarkStart w:id="127" w:name="_Toc12339071"/>
      <w:bookmarkStart w:id="128" w:name="_Toc12339072"/>
      <w:bookmarkStart w:id="129" w:name="_Toc12339073"/>
      <w:bookmarkStart w:id="130" w:name="_Toc12339074"/>
      <w:bookmarkStart w:id="131" w:name="_Toc12339075"/>
      <w:bookmarkStart w:id="132" w:name="_Toc12339076"/>
      <w:bookmarkStart w:id="133" w:name="_Toc12339077"/>
      <w:bookmarkStart w:id="134" w:name="_Toc12339078"/>
      <w:bookmarkStart w:id="135" w:name="_Toc12339079"/>
      <w:bookmarkStart w:id="136" w:name="_Toc12339080"/>
      <w:bookmarkStart w:id="137" w:name="_Toc12339081"/>
      <w:bookmarkStart w:id="138" w:name="_Toc12339082"/>
      <w:bookmarkStart w:id="139" w:name="_Toc12339083"/>
      <w:bookmarkStart w:id="140" w:name="_Toc12339084"/>
      <w:bookmarkStart w:id="141" w:name="_Toc12339085"/>
      <w:bookmarkStart w:id="142" w:name="_Toc12339086"/>
      <w:bookmarkStart w:id="143" w:name="_Toc12339087"/>
      <w:bookmarkStart w:id="144" w:name="_Toc12339088"/>
      <w:bookmarkStart w:id="145" w:name="_Toc12339089"/>
      <w:bookmarkStart w:id="146" w:name="_Toc12339090"/>
      <w:bookmarkStart w:id="147" w:name="_Toc12339091"/>
      <w:bookmarkStart w:id="148" w:name="_Toc12339092"/>
      <w:bookmarkStart w:id="149" w:name="_Toc12339093"/>
      <w:bookmarkStart w:id="150" w:name="_Toc12339094"/>
      <w:bookmarkStart w:id="151" w:name="_Toc12339095"/>
      <w:bookmarkStart w:id="152" w:name="_Toc12339096"/>
      <w:bookmarkStart w:id="153" w:name="_Toc12339097"/>
      <w:bookmarkStart w:id="154" w:name="_Toc12339098"/>
      <w:bookmarkStart w:id="155" w:name="_Toc12339099"/>
      <w:bookmarkStart w:id="156" w:name="_Toc12339100"/>
      <w:bookmarkStart w:id="157" w:name="_Toc12339101"/>
      <w:bookmarkStart w:id="158" w:name="_Toc12339102"/>
      <w:bookmarkStart w:id="159" w:name="_Toc12339103"/>
      <w:bookmarkStart w:id="160" w:name="_Toc12339104"/>
      <w:bookmarkStart w:id="161" w:name="_Toc12339105"/>
      <w:bookmarkStart w:id="162" w:name="_Toc12339106"/>
      <w:bookmarkStart w:id="163" w:name="_Toc12339107"/>
      <w:bookmarkStart w:id="164" w:name="_Toc12339108"/>
      <w:bookmarkStart w:id="165" w:name="_Toc12339109"/>
      <w:bookmarkStart w:id="166" w:name="_Toc12339110"/>
      <w:bookmarkStart w:id="167" w:name="_Toc12339111"/>
      <w:bookmarkStart w:id="168" w:name="_Toc12339112"/>
      <w:bookmarkStart w:id="169" w:name="_Toc12339113"/>
      <w:bookmarkStart w:id="170" w:name="_Toc12339114"/>
      <w:bookmarkStart w:id="171" w:name="_Toc12339115"/>
      <w:bookmarkStart w:id="172" w:name="_Toc12339116"/>
      <w:bookmarkStart w:id="173" w:name="_Toc12339117"/>
      <w:bookmarkStart w:id="174" w:name="_Toc12339118"/>
      <w:bookmarkStart w:id="175" w:name="_Toc12339119"/>
      <w:bookmarkStart w:id="176" w:name="_Toc12339120"/>
      <w:bookmarkStart w:id="177" w:name="_Toc12339121"/>
      <w:bookmarkStart w:id="178" w:name="_Toc12339122"/>
      <w:bookmarkStart w:id="179" w:name="_Toc12339123"/>
      <w:bookmarkStart w:id="180" w:name="_Toc12339124"/>
      <w:bookmarkStart w:id="181" w:name="_Toc12339125"/>
      <w:bookmarkStart w:id="182" w:name="_Toc12339126"/>
      <w:bookmarkStart w:id="183" w:name="_Toc12339127"/>
      <w:bookmarkStart w:id="184" w:name="_Toc12339128"/>
      <w:bookmarkStart w:id="185" w:name="_Toc12339129"/>
      <w:bookmarkStart w:id="186" w:name="_Toc12339130"/>
      <w:bookmarkStart w:id="187" w:name="_Toc12339131"/>
      <w:bookmarkStart w:id="188" w:name="_Toc12339132"/>
      <w:bookmarkStart w:id="189" w:name="_Toc12339133"/>
      <w:bookmarkStart w:id="190" w:name="_Toc12339134"/>
      <w:bookmarkStart w:id="191" w:name="_Toc12339135"/>
      <w:bookmarkStart w:id="192" w:name="_Toc12339136"/>
      <w:bookmarkStart w:id="193" w:name="_Toc12339137"/>
      <w:bookmarkStart w:id="194" w:name="_Toc12339138"/>
      <w:bookmarkStart w:id="195" w:name="_Toc12339139"/>
      <w:bookmarkStart w:id="196" w:name="_Toc12339140"/>
      <w:bookmarkStart w:id="197" w:name="_Toc12339141"/>
      <w:bookmarkStart w:id="198" w:name="_Toc12339142"/>
      <w:bookmarkStart w:id="199" w:name="_Toc12339143"/>
      <w:bookmarkStart w:id="200" w:name="_Toc12339144"/>
      <w:bookmarkStart w:id="201" w:name="_Toc12339145"/>
      <w:bookmarkStart w:id="202" w:name="_Toc12339146"/>
      <w:bookmarkStart w:id="203" w:name="_Toc12339147"/>
      <w:bookmarkStart w:id="204" w:name="_Toc12339148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C069CF">
        <w:rPr>
          <w:color w:val="000000" w:themeColor="text1"/>
        </w:rPr>
        <w:t>Kryteria oceny testu zgodności</w:t>
      </w:r>
      <w:bookmarkEnd w:id="204"/>
    </w:p>
    <w:p w14:paraId="0C17B449" w14:textId="4F6D11C1" w:rsidR="00EA33B0" w:rsidRPr="00C069CF" w:rsidRDefault="00EA33B0" w:rsidP="00EA33B0">
      <w:pPr>
        <w:pStyle w:val="Akapitzlist"/>
        <w:spacing w:before="0" w:after="200"/>
        <w:ind w:left="720"/>
        <w:rPr>
          <w:color w:val="000000" w:themeColor="text1"/>
        </w:rPr>
      </w:pPr>
      <w:r w:rsidRPr="00C069CF">
        <w:rPr>
          <w:color w:val="000000" w:themeColor="text1"/>
          <w:szCs w:val="22"/>
        </w:rPr>
        <w:t>Przedmiotowy test zgodności uznaje się za pozytywny, zgodnie z</w:t>
      </w:r>
      <w:r w:rsidR="00070917" w:rsidRPr="00C069CF">
        <w:rPr>
          <w:color w:val="000000" w:themeColor="text1"/>
          <w:szCs w:val="22"/>
        </w:rPr>
        <w:t>:</w:t>
      </w:r>
    </w:p>
    <w:p w14:paraId="678A12EA" w14:textId="604DD080" w:rsidR="00255423" w:rsidRPr="00C069CF" w:rsidRDefault="00070917" w:rsidP="004F574C">
      <w:pPr>
        <w:pStyle w:val="Akapitzlist"/>
        <w:numPr>
          <w:ilvl w:val="0"/>
          <w:numId w:val="9"/>
        </w:numPr>
        <w:spacing w:before="0" w:after="200"/>
        <w:ind w:left="357" w:hanging="357"/>
        <w:rPr>
          <w:color w:val="000000" w:themeColor="text1"/>
          <w:szCs w:val="22"/>
        </w:rPr>
      </w:pPr>
      <w:r w:rsidRPr="00C069CF">
        <w:rPr>
          <w:color w:val="000000" w:themeColor="text1"/>
        </w:rPr>
        <w:lastRenderedPageBreak/>
        <w:t>k</w:t>
      </w:r>
      <w:r w:rsidR="00255423" w:rsidRPr="00C069CF">
        <w:rPr>
          <w:color w:val="000000" w:themeColor="text1"/>
        </w:rPr>
        <w:t xml:space="preserve">ryteriami określonymi w </w:t>
      </w:r>
      <w:r w:rsidRPr="00C069CF">
        <w:rPr>
          <w:color w:val="000000" w:themeColor="text1"/>
        </w:rPr>
        <w:t>a</w:t>
      </w:r>
      <w:r w:rsidR="00255423" w:rsidRPr="00C069CF">
        <w:rPr>
          <w:color w:val="000000" w:themeColor="text1"/>
        </w:rPr>
        <w:t xml:space="preserve">rt. </w:t>
      </w:r>
      <w:r w:rsidRPr="00C069CF">
        <w:rPr>
          <w:color w:val="000000" w:themeColor="text1"/>
        </w:rPr>
        <w:t>71 ust. 8 lit.</w:t>
      </w:r>
      <w:r w:rsidR="00255423" w:rsidRPr="00C069CF">
        <w:rPr>
          <w:color w:val="000000" w:themeColor="text1"/>
        </w:rPr>
        <w:t xml:space="preserve"> c)</w:t>
      </w:r>
      <w:r w:rsidRPr="00C069CF">
        <w:rPr>
          <w:color w:val="000000" w:themeColor="text1"/>
        </w:rPr>
        <w:t xml:space="preserve"> NC HVDC, </w:t>
      </w:r>
      <w:proofErr w:type="gramStart"/>
      <w:r w:rsidRPr="00C069CF">
        <w:rPr>
          <w:color w:val="000000" w:themeColor="text1"/>
        </w:rPr>
        <w:t>tj.</w:t>
      </w:r>
      <w:proofErr w:type="gramEnd"/>
      <w:r w:rsidRPr="00C069CF">
        <w:rPr>
          <w:color w:val="000000" w:themeColor="text1"/>
        </w:rPr>
        <w:t xml:space="preserve"> </w:t>
      </w:r>
      <w:r w:rsidR="00255423" w:rsidRPr="00C069CF">
        <w:rPr>
          <w:color w:val="000000" w:themeColor="text1"/>
          <w:szCs w:val="22"/>
        </w:rPr>
        <w:t xml:space="preserve">jeżeli spełnione są następujące warunki: </w:t>
      </w:r>
    </w:p>
    <w:p w14:paraId="37049C2F" w14:textId="73FFAA09" w:rsidR="00255423" w:rsidRPr="00C069CF" w:rsidRDefault="00255423" w:rsidP="004F574C">
      <w:pPr>
        <w:pStyle w:val="Akapitzlist"/>
        <w:widowControl w:val="0"/>
        <w:numPr>
          <w:ilvl w:val="0"/>
          <w:numId w:val="50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color w:val="000000" w:themeColor="text1"/>
          <w:szCs w:val="22"/>
        </w:rPr>
      </w:pPr>
      <w:r w:rsidRPr="00C069CF">
        <w:rPr>
          <w:color w:val="000000" w:themeColor="text1"/>
          <w:szCs w:val="22"/>
        </w:rPr>
        <w:t xml:space="preserve">wyniki testu, zarówno w przypadku parametrów dynamicznych, jak i statycznych, spełniają </w:t>
      </w:r>
      <w:r w:rsidR="00070917" w:rsidRPr="00C069CF">
        <w:rPr>
          <w:color w:val="000000" w:themeColor="text1"/>
          <w:szCs w:val="22"/>
        </w:rPr>
        <w:t xml:space="preserve">postanowione </w:t>
      </w:r>
      <w:r w:rsidRPr="00C069CF">
        <w:rPr>
          <w:color w:val="000000" w:themeColor="text1"/>
          <w:szCs w:val="22"/>
        </w:rPr>
        <w:t>wymogi</w:t>
      </w:r>
      <w:r w:rsidR="00070917" w:rsidRPr="00C069CF">
        <w:rPr>
          <w:color w:val="000000" w:themeColor="text1"/>
          <w:szCs w:val="22"/>
        </w:rPr>
        <w:t>,</w:t>
      </w:r>
    </w:p>
    <w:p w14:paraId="46E8969C" w14:textId="7D7304D5" w:rsidR="00255423" w:rsidRPr="00C069CF" w:rsidRDefault="00255423" w:rsidP="004F574C">
      <w:pPr>
        <w:pStyle w:val="Akapitzlist"/>
        <w:widowControl w:val="0"/>
        <w:numPr>
          <w:ilvl w:val="0"/>
          <w:numId w:val="46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color w:val="000000" w:themeColor="text1"/>
          <w:szCs w:val="22"/>
        </w:rPr>
      </w:pPr>
      <w:r w:rsidRPr="00C069CF">
        <w:rPr>
          <w:color w:val="000000" w:themeColor="text1"/>
          <w:szCs w:val="22"/>
        </w:rPr>
        <w:t>po odpowiedzi na skokową zmianę częstotliwości nie występują niewytłumione oscylacje</w:t>
      </w:r>
      <w:r w:rsidR="00070917" w:rsidRPr="00C069CF">
        <w:rPr>
          <w:color w:val="000000" w:themeColor="text1"/>
          <w:szCs w:val="22"/>
        </w:rPr>
        <w:t>,</w:t>
      </w:r>
    </w:p>
    <w:p w14:paraId="3FC3C0EF" w14:textId="4C489C60" w:rsidR="00B747A2" w:rsidRPr="00C069CF" w:rsidRDefault="00070917" w:rsidP="004F574C">
      <w:pPr>
        <w:pStyle w:val="Akapitzlist"/>
        <w:numPr>
          <w:ilvl w:val="0"/>
          <w:numId w:val="9"/>
        </w:numPr>
        <w:spacing w:before="0" w:after="200"/>
        <w:ind w:left="357" w:hanging="357"/>
        <w:rPr>
          <w:color w:val="000000" w:themeColor="text1"/>
        </w:rPr>
      </w:pPr>
      <w:r w:rsidRPr="00C069CF">
        <w:rPr>
          <w:color w:val="000000" w:themeColor="text1"/>
        </w:rPr>
        <w:t>s</w:t>
      </w:r>
      <w:r w:rsidR="00255423" w:rsidRPr="00C069CF">
        <w:rPr>
          <w:color w:val="000000" w:themeColor="text1"/>
        </w:rPr>
        <w:t xml:space="preserve">zczegółowymi kryteriami określonymi przez </w:t>
      </w:r>
      <w:r w:rsidRPr="00C069CF">
        <w:rPr>
          <w:color w:val="000000" w:themeColor="text1"/>
        </w:rPr>
        <w:t>w</w:t>
      </w:r>
      <w:r w:rsidR="00255423" w:rsidRPr="00C069CF">
        <w:rPr>
          <w:color w:val="000000" w:themeColor="text1"/>
        </w:rPr>
        <w:t>łaściwego OS w ramach programu szczegółowego</w:t>
      </w:r>
      <w:r w:rsidR="009667BF" w:rsidRPr="00C069CF">
        <w:rPr>
          <w:rFonts w:cstheme="minorHAnsi"/>
          <w:color w:val="000000" w:themeColor="text1"/>
        </w:rPr>
        <w:t>.</w:t>
      </w:r>
    </w:p>
    <w:sectPr w:rsidR="00B747A2" w:rsidRPr="00C069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88FC7" w14:textId="77777777" w:rsidR="00AF5AD4" w:rsidRDefault="00AF5AD4">
      <w:pPr>
        <w:spacing w:after="0" w:line="240" w:lineRule="auto"/>
      </w:pPr>
      <w:r>
        <w:separator/>
      </w:r>
    </w:p>
  </w:endnote>
  <w:endnote w:type="continuationSeparator" w:id="0">
    <w:p w14:paraId="1FAFB31F" w14:textId="77777777" w:rsidR="00AF5AD4" w:rsidRDefault="00AF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5BC9F" w14:textId="33CB3D36" w:rsidR="006E3BA3" w:rsidRDefault="006E3BA3">
    <w:pPr>
      <w:pStyle w:val="Stopka"/>
      <w:spacing w:before="240"/>
      <w:jc w:val="right"/>
    </w:pPr>
  </w:p>
  <w:p w14:paraId="1B41E05A" w14:textId="465E14B6" w:rsidR="006E3BA3" w:rsidRDefault="006E3BA3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205" w:name="__UnoMark__8_1807911908"/>
    <w:bookmarkEnd w:id="20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2718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F900BC" w14:textId="54DBDF25" w:rsidR="00C069CF" w:rsidRDefault="00C069C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ECB2418" w14:textId="15889510" w:rsidR="006E3BA3" w:rsidRDefault="006E3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B6B41" w14:textId="77777777" w:rsidR="00AF5AD4" w:rsidRDefault="00AF5AD4">
      <w:pPr>
        <w:spacing w:after="0" w:line="240" w:lineRule="auto"/>
      </w:pPr>
      <w:r>
        <w:separator/>
      </w:r>
    </w:p>
  </w:footnote>
  <w:footnote w:type="continuationSeparator" w:id="0">
    <w:p w14:paraId="12997972" w14:textId="77777777" w:rsidR="00AF5AD4" w:rsidRDefault="00AF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6E3BA3" w:rsidRDefault="006E3BA3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523E8F10" w:rsidR="006E3BA3" w:rsidRDefault="00807319">
    <w:pPr>
      <w:pStyle w:val="Nagwek10"/>
      <w:jc w:val="center"/>
    </w:pPr>
    <w:r>
      <w:tab/>
    </w:r>
    <w:r>
      <w:tab/>
    </w:r>
    <w:r w:rsidR="006E3BA3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45034366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3D4FDA8C" w:rsidR="006E3BA3" w:rsidRDefault="006E3BA3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6E3BA3" w:rsidRDefault="006E3BA3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3D4FDA8C" w:rsidR="006E3BA3" w:rsidRDefault="006E3BA3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6E3BA3" w:rsidRDefault="006E3BA3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206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031A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DFF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18577E58"/>
    <w:multiLevelType w:val="hybridMultilevel"/>
    <w:tmpl w:val="0BFE7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1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2249C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08E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Nagwek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5E2A5F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77E3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E285E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02DD3"/>
    <w:multiLevelType w:val="multilevel"/>
    <w:tmpl w:val="73D4F0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F662AA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57E29"/>
    <w:multiLevelType w:val="multilevel"/>
    <w:tmpl w:val="2AFEC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F7094"/>
    <w:multiLevelType w:val="multilevel"/>
    <w:tmpl w:val="60C6F5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2" w15:restartNumberingAfterBreak="0">
    <w:nsid w:val="7AA43D8C"/>
    <w:multiLevelType w:val="hybridMultilevel"/>
    <w:tmpl w:val="C804C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43"/>
  </w:num>
  <w:num w:numId="8">
    <w:abstractNumId w:val="37"/>
  </w:num>
  <w:num w:numId="9">
    <w:abstractNumId w:val="29"/>
  </w:num>
  <w:num w:numId="10">
    <w:abstractNumId w:val="39"/>
  </w:num>
  <w:num w:numId="11">
    <w:abstractNumId w:val="23"/>
  </w:num>
  <w:num w:numId="12">
    <w:abstractNumId w:val="21"/>
  </w:num>
  <w:num w:numId="13">
    <w:abstractNumId w:val="30"/>
  </w:num>
  <w:num w:numId="14">
    <w:abstractNumId w:val="32"/>
  </w:num>
  <w:num w:numId="15">
    <w:abstractNumId w:val="27"/>
  </w:num>
  <w:num w:numId="16">
    <w:abstractNumId w:val="35"/>
  </w:num>
  <w:num w:numId="17">
    <w:abstractNumId w:val="44"/>
  </w:num>
  <w:num w:numId="18">
    <w:abstractNumId w:val="12"/>
  </w:num>
  <w:num w:numId="19">
    <w:abstractNumId w:val="24"/>
  </w:num>
  <w:num w:numId="20">
    <w:abstractNumId w:val="45"/>
  </w:num>
  <w:num w:numId="21">
    <w:abstractNumId w:val="11"/>
  </w:num>
  <w:num w:numId="22">
    <w:abstractNumId w:val="22"/>
  </w:num>
  <w:num w:numId="23">
    <w:abstractNumId w:val="13"/>
  </w:num>
  <w:num w:numId="24">
    <w:abstractNumId w:val="14"/>
  </w:num>
  <w:num w:numId="25">
    <w:abstractNumId w:val="0"/>
  </w:num>
  <w:num w:numId="26">
    <w:abstractNumId w:val="40"/>
  </w:num>
  <w:num w:numId="27">
    <w:abstractNumId w:val="2"/>
  </w:num>
  <w:num w:numId="28">
    <w:abstractNumId w:val="31"/>
  </w:num>
  <w:num w:numId="29">
    <w:abstractNumId w:val="36"/>
  </w:num>
  <w:num w:numId="30">
    <w:abstractNumId w:val="25"/>
  </w:num>
  <w:num w:numId="31">
    <w:abstractNumId w:val="41"/>
  </w:num>
  <w:num w:numId="32">
    <w:abstractNumId w:val="33"/>
  </w:num>
  <w:num w:numId="33">
    <w:abstractNumId w:val="6"/>
  </w:num>
  <w:num w:numId="34">
    <w:abstractNumId w:val="15"/>
  </w:num>
  <w:num w:numId="35">
    <w:abstractNumId w:val="42"/>
  </w:num>
  <w:num w:numId="36">
    <w:abstractNumId w:val="20"/>
  </w:num>
  <w:num w:numId="37">
    <w:abstractNumId w:val="28"/>
  </w:num>
  <w:num w:numId="38">
    <w:abstractNumId w:val="18"/>
  </w:num>
  <w:num w:numId="39">
    <w:abstractNumId w:val="4"/>
  </w:num>
  <w:num w:numId="40">
    <w:abstractNumId w:val="1"/>
  </w:num>
  <w:num w:numId="41">
    <w:abstractNumId w:val="26"/>
  </w:num>
  <w:num w:numId="42">
    <w:abstractNumId w:val="16"/>
  </w:num>
  <w:num w:numId="43">
    <w:abstractNumId w:val="34"/>
  </w:num>
  <w:num w:numId="44">
    <w:abstractNumId w:val="17"/>
  </w:num>
  <w:num w:numId="45">
    <w:abstractNumId w:val="38"/>
  </w:num>
  <w:num w:numId="46">
    <w:abstractNumId w:val="3"/>
  </w:num>
  <w:num w:numId="47">
    <w:abstractNumId w:val="18"/>
  </w:num>
  <w:num w:numId="48">
    <w:abstractNumId w:val="18"/>
  </w:num>
  <w:num w:numId="49">
    <w:abstractNumId w:val="18"/>
  </w:num>
  <w:num w:numId="5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10834"/>
    <w:rsid w:val="000251C8"/>
    <w:rsid w:val="0004246A"/>
    <w:rsid w:val="00046113"/>
    <w:rsid w:val="000512C9"/>
    <w:rsid w:val="00070917"/>
    <w:rsid w:val="000A0DB7"/>
    <w:rsid w:val="000A27B1"/>
    <w:rsid w:val="000A6346"/>
    <w:rsid w:val="000B1CDB"/>
    <w:rsid w:val="000B5E33"/>
    <w:rsid w:val="000C0F72"/>
    <w:rsid w:val="000D47A5"/>
    <w:rsid w:val="000D599F"/>
    <w:rsid w:val="000E3607"/>
    <w:rsid w:val="000F47A5"/>
    <w:rsid w:val="000F4EFC"/>
    <w:rsid w:val="000F7147"/>
    <w:rsid w:val="000F7BA8"/>
    <w:rsid w:val="0010691A"/>
    <w:rsid w:val="00107AF9"/>
    <w:rsid w:val="0011440D"/>
    <w:rsid w:val="00116CFD"/>
    <w:rsid w:val="001215F6"/>
    <w:rsid w:val="001278DF"/>
    <w:rsid w:val="00133B73"/>
    <w:rsid w:val="001428F3"/>
    <w:rsid w:val="0014296C"/>
    <w:rsid w:val="00172053"/>
    <w:rsid w:val="00173240"/>
    <w:rsid w:val="00177011"/>
    <w:rsid w:val="001A6A2C"/>
    <w:rsid w:val="001D71B4"/>
    <w:rsid w:val="001E5B80"/>
    <w:rsid w:val="002003D6"/>
    <w:rsid w:val="00206878"/>
    <w:rsid w:val="00216D88"/>
    <w:rsid w:val="002218A9"/>
    <w:rsid w:val="00224D88"/>
    <w:rsid w:val="00232975"/>
    <w:rsid w:val="002337FA"/>
    <w:rsid w:val="0024108C"/>
    <w:rsid w:val="00255423"/>
    <w:rsid w:val="002565B5"/>
    <w:rsid w:val="002575FE"/>
    <w:rsid w:val="00260800"/>
    <w:rsid w:val="00260F70"/>
    <w:rsid w:val="00281AB1"/>
    <w:rsid w:val="00290C08"/>
    <w:rsid w:val="00291510"/>
    <w:rsid w:val="002A1DFA"/>
    <w:rsid w:val="002A76B3"/>
    <w:rsid w:val="002B21E5"/>
    <w:rsid w:val="002B3FCE"/>
    <w:rsid w:val="002C2EC2"/>
    <w:rsid w:val="002C3D00"/>
    <w:rsid w:val="002D3357"/>
    <w:rsid w:val="002E0C4C"/>
    <w:rsid w:val="002F2313"/>
    <w:rsid w:val="002F68BC"/>
    <w:rsid w:val="00306191"/>
    <w:rsid w:val="003133D7"/>
    <w:rsid w:val="0032148B"/>
    <w:rsid w:val="00334F94"/>
    <w:rsid w:val="0035065F"/>
    <w:rsid w:val="003524F7"/>
    <w:rsid w:val="003575AA"/>
    <w:rsid w:val="003643C8"/>
    <w:rsid w:val="00366D0F"/>
    <w:rsid w:val="00370B35"/>
    <w:rsid w:val="00395E09"/>
    <w:rsid w:val="00397D60"/>
    <w:rsid w:val="003A0D64"/>
    <w:rsid w:val="003B4196"/>
    <w:rsid w:val="003C22D6"/>
    <w:rsid w:val="003C443E"/>
    <w:rsid w:val="003C5B64"/>
    <w:rsid w:val="003D050E"/>
    <w:rsid w:val="003D40DD"/>
    <w:rsid w:val="003D5ABF"/>
    <w:rsid w:val="003F10CD"/>
    <w:rsid w:val="00411B7A"/>
    <w:rsid w:val="00417701"/>
    <w:rsid w:val="00434AB4"/>
    <w:rsid w:val="0043655F"/>
    <w:rsid w:val="00437F1D"/>
    <w:rsid w:val="004522A7"/>
    <w:rsid w:val="00462790"/>
    <w:rsid w:val="00486D0C"/>
    <w:rsid w:val="00495CDD"/>
    <w:rsid w:val="004962BE"/>
    <w:rsid w:val="004A43D4"/>
    <w:rsid w:val="004B5F72"/>
    <w:rsid w:val="004C08D2"/>
    <w:rsid w:val="004D64A1"/>
    <w:rsid w:val="004E066E"/>
    <w:rsid w:val="004F356E"/>
    <w:rsid w:val="004F574C"/>
    <w:rsid w:val="005051B3"/>
    <w:rsid w:val="0051209F"/>
    <w:rsid w:val="0051304F"/>
    <w:rsid w:val="00524B19"/>
    <w:rsid w:val="00531BA4"/>
    <w:rsid w:val="00536C22"/>
    <w:rsid w:val="00537936"/>
    <w:rsid w:val="00552FF4"/>
    <w:rsid w:val="005539E3"/>
    <w:rsid w:val="00554A90"/>
    <w:rsid w:val="0056121D"/>
    <w:rsid w:val="00584A25"/>
    <w:rsid w:val="005A02D8"/>
    <w:rsid w:val="005F090F"/>
    <w:rsid w:val="0060172B"/>
    <w:rsid w:val="0061736B"/>
    <w:rsid w:val="006244C9"/>
    <w:rsid w:val="00630551"/>
    <w:rsid w:val="0063259E"/>
    <w:rsid w:val="00664644"/>
    <w:rsid w:val="006651D6"/>
    <w:rsid w:val="00675946"/>
    <w:rsid w:val="00681617"/>
    <w:rsid w:val="0068407B"/>
    <w:rsid w:val="006A18AA"/>
    <w:rsid w:val="006A1D3E"/>
    <w:rsid w:val="006B44DE"/>
    <w:rsid w:val="006B55E9"/>
    <w:rsid w:val="006C2A73"/>
    <w:rsid w:val="006D6B0D"/>
    <w:rsid w:val="006E3BA3"/>
    <w:rsid w:val="00703E94"/>
    <w:rsid w:val="0070519E"/>
    <w:rsid w:val="00706AB0"/>
    <w:rsid w:val="00726123"/>
    <w:rsid w:val="0073152E"/>
    <w:rsid w:val="00744744"/>
    <w:rsid w:val="00744996"/>
    <w:rsid w:val="00750725"/>
    <w:rsid w:val="00753946"/>
    <w:rsid w:val="0077397E"/>
    <w:rsid w:val="007806BF"/>
    <w:rsid w:val="0078129D"/>
    <w:rsid w:val="0078210B"/>
    <w:rsid w:val="00795F7E"/>
    <w:rsid w:val="007A5276"/>
    <w:rsid w:val="007B1D56"/>
    <w:rsid w:val="007B3826"/>
    <w:rsid w:val="007B79D0"/>
    <w:rsid w:val="007C1CA6"/>
    <w:rsid w:val="007C4FB4"/>
    <w:rsid w:val="007F1465"/>
    <w:rsid w:val="008004DA"/>
    <w:rsid w:val="008065ED"/>
    <w:rsid w:val="00807319"/>
    <w:rsid w:val="00823449"/>
    <w:rsid w:val="00856ACA"/>
    <w:rsid w:val="00874638"/>
    <w:rsid w:val="00886CBA"/>
    <w:rsid w:val="008A45DD"/>
    <w:rsid w:val="008C0D5E"/>
    <w:rsid w:val="008C1FAF"/>
    <w:rsid w:val="008D63F5"/>
    <w:rsid w:val="008F29D7"/>
    <w:rsid w:val="00900642"/>
    <w:rsid w:val="00906549"/>
    <w:rsid w:val="00912E85"/>
    <w:rsid w:val="00914071"/>
    <w:rsid w:val="00930317"/>
    <w:rsid w:val="00931E35"/>
    <w:rsid w:val="00934BD9"/>
    <w:rsid w:val="00935F1E"/>
    <w:rsid w:val="009548C5"/>
    <w:rsid w:val="00960460"/>
    <w:rsid w:val="00964F1B"/>
    <w:rsid w:val="009667BF"/>
    <w:rsid w:val="00985590"/>
    <w:rsid w:val="0099217A"/>
    <w:rsid w:val="009B57FD"/>
    <w:rsid w:val="009C51AD"/>
    <w:rsid w:val="009C74B5"/>
    <w:rsid w:val="009D71D0"/>
    <w:rsid w:val="009E399C"/>
    <w:rsid w:val="00A118E8"/>
    <w:rsid w:val="00A14D7A"/>
    <w:rsid w:val="00A31F64"/>
    <w:rsid w:val="00A42C75"/>
    <w:rsid w:val="00A77E3E"/>
    <w:rsid w:val="00A85E67"/>
    <w:rsid w:val="00A97BB4"/>
    <w:rsid w:val="00AA060E"/>
    <w:rsid w:val="00AA213B"/>
    <w:rsid w:val="00AB5048"/>
    <w:rsid w:val="00AB585B"/>
    <w:rsid w:val="00AB791B"/>
    <w:rsid w:val="00AC15CD"/>
    <w:rsid w:val="00AE148A"/>
    <w:rsid w:val="00AF318D"/>
    <w:rsid w:val="00AF5AD4"/>
    <w:rsid w:val="00AF7C66"/>
    <w:rsid w:val="00B0678C"/>
    <w:rsid w:val="00B41120"/>
    <w:rsid w:val="00B44427"/>
    <w:rsid w:val="00B7048B"/>
    <w:rsid w:val="00B72192"/>
    <w:rsid w:val="00B747A2"/>
    <w:rsid w:val="00B76698"/>
    <w:rsid w:val="00B83BCF"/>
    <w:rsid w:val="00B93569"/>
    <w:rsid w:val="00BA27BD"/>
    <w:rsid w:val="00BC0F8A"/>
    <w:rsid w:val="00BC18BB"/>
    <w:rsid w:val="00BC36EC"/>
    <w:rsid w:val="00BD699E"/>
    <w:rsid w:val="00BE4FCE"/>
    <w:rsid w:val="00C03785"/>
    <w:rsid w:val="00C069CF"/>
    <w:rsid w:val="00C35013"/>
    <w:rsid w:val="00C45D1B"/>
    <w:rsid w:val="00C47B52"/>
    <w:rsid w:val="00C57B30"/>
    <w:rsid w:val="00C62049"/>
    <w:rsid w:val="00C84D56"/>
    <w:rsid w:val="00C85061"/>
    <w:rsid w:val="00CA4329"/>
    <w:rsid w:val="00CD16B2"/>
    <w:rsid w:val="00CE38E9"/>
    <w:rsid w:val="00D007A9"/>
    <w:rsid w:val="00D133E9"/>
    <w:rsid w:val="00D14371"/>
    <w:rsid w:val="00D32543"/>
    <w:rsid w:val="00D36BFE"/>
    <w:rsid w:val="00D416BD"/>
    <w:rsid w:val="00D43E1E"/>
    <w:rsid w:val="00D72688"/>
    <w:rsid w:val="00D7513F"/>
    <w:rsid w:val="00D8552B"/>
    <w:rsid w:val="00D861C9"/>
    <w:rsid w:val="00DB0F62"/>
    <w:rsid w:val="00DC68C8"/>
    <w:rsid w:val="00DD6A51"/>
    <w:rsid w:val="00DE391F"/>
    <w:rsid w:val="00DE6A77"/>
    <w:rsid w:val="00DE6DE4"/>
    <w:rsid w:val="00DF7F5C"/>
    <w:rsid w:val="00E04286"/>
    <w:rsid w:val="00E05F45"/>
    <w:rsid w:val="00E258E2"/>
    <w:rsid w:val="00E322E3"/>
    <w:rsid w:val="00E40299"/>
    <w:rsid w:val="00E44209"/>
    <w:rsid w:val="00E62289"/>
    <w:rsid w:val="00E8505B"/>
    <w:rsid w:val="00E87E42"/>
    <w:rsid w:val="00EA0AFB"/>
    <w:rsid w:val="00EA33B0"/>
    <w:rsid w:val="00EA4BEA"/>
    <w:rsid w:val="00EA4E76"/>
    <w:rsid w:val="00EA5024"/>
    <w:rsid w:val="00EB717C"/>
    <w:rsid w:val="00ED3157"/>
    <w:rsid w:val="00ED7A13"/>
    <w:rsid w:val="00EE5A94"/>
    <w:rsid w:val="00EF25CA"/>
    <w:rsid w:val="00EF5C7D"/>
    <w:rsid w:val="00EF7688"/>
    <w:rsid w:val="00F32831"/>
    <w:rsid w:val="00F462D7"/>
    <w:rsid w:val="00F54C43"/>
    <w:rsid w:val="00F77770"/>
    <w:rsid w:val="00F96106"/>
    <w:rsid w:val="00FA1795"/>
    <w:rsid w:val="00FB0DD7"/>
    <w:rsid w:val="00FB1383"/>
    <w:rsid w:val="00FC7CE9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C3D00"/>
    <w:pPr>
      <w:keepNext/>
      <w:keepLines/>
      <w:numPr>
        <w:ilvl w:val="1"/>
        <w:numId w:val="2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B11D-DF04-4FAD-AF57-6174904D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5</cp:revision>
  <cp:lastPrinted>2017-05-03T15:55:00Z</cp:lastPrinted>
  <dcterms:created xsi:type="dcterms:W3CDTF">2019-08-09T09:46:00Z</dcterms:created>
  <dcterms:modified xsi:type="dcterms:W3CDTF">2020-08-05T19:34:00Z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